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1D21E" w14:textId="77777777" w:rsidR="000D5194" w:rsidRDefault="000D5194" w:rsidP="00D73E91">
      <w:bookmarkStart w:id="0" w:name="_GoBack"/>
      <w:bookmarkEnd w:id="0"/>
    </w:p>
    <w:p w14:paraId="1F3698B3"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
          <w:bCs/>
          <w:noProof/>
        </w:rPr>
      </w:pPr>
      <w:r w:rsidRPr="000D5194">
        <w:rPr>
          <w:rFonts w:cs="Calibri"/>
          <w:b/>
          <w:bCs/>
          <w:noProof/>
        </w:rPr>
        <w:t>BEFORE</w:t>
      </w:r>
    </w:p>
    <w:p w14:paraId="0C8CCFAA"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p>
    <w:p w14:paraId="11076EEC"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r w:rsidRPr="000D5194">
        <w:rPr>
          <w:rFonts w:cs="Calibri"/>
          <w:b/>
          <w:bCs/>
        </w:rPr>
        <w:t>THE BIHAR ELECTRICITY REGULATORY COMMISSION</w:t>
      </w:r>
    </w:p>
    <w:p w14:paraId="6537161E"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proofErr w:type="spellStart"/>
      <w:r w:rsidRPr="000D5194">
        <w:rPr>
          <w:rFonts w:cs="Calibri"/>
          <w:b/>
          <w:bCs/>
        </w:rPr>
        <w:t>VIDYUT</w:t>
      </w:r>
      <w:proofErr w:type="spellEnd"/>
      <w:r w:rsidRPr="000D5194">
        <w:rPr>
          <w:rFonts w:cs="Calibri"/>
          <w:b/>
          <w:bCs/>
        </w:rPr>
        <w:t xml:space="preserve"> </w:t>
      </w:r>
      <w:proofErr w:type="spellStart"/>
      <w:r w:rsidRPr="000D5194">
        <w:rPr>
          <w:rFonts w:cs="Calibri"/>
          <w:b/>
          <w:bCs/>
        </w:rPr>
        <w:t>BHAWAN</w:t>
      </w:r>
      <w:proofErr w:type="spellEnd"/>
      <w:r w:rsidRPr="000D5194">
        <w:rPr>
          <w:rFonts w:cs="Calibri"/>
          <w:b/>
          <w:bCs/>
        </w:rPr>
        <w:t xml:space="preserve"> –II, PATNA</w:t>
      </w:r>
    </w:p>
    <w:p w14:paraId="0D587A8E" w14:textId="77777777" w:rsidR="000D5194" w:rsidRPr="000D5194" w:rsidRDefault="000D5194" w:rsidP="000D5194">
      <w:pPr>
        <w:pBdr>
          <w:top w:val="single" w:sz="24" w:space="16" w:color="auto"/>
          <w:left w:val="single" w:sz="24" w:space="4" w:color="auto"/>
          <w:bottom w:val="single" w:sz="24" w:space="31" w:color="auto"/>
          <w:right w:val="single" w:sz="24" w:space="4" w:color="auto"/>
        </w:pBdr>
        <w:rPr>
          <w:rFonts w:cs="Calibri"/>
          <w:b/>
          <w:bCs/>
        </w:rPr>
      </w:pPr>
    </w:p>
    <w:p w14:paraId="16626484"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r w:rsidRPr="000D5194">
        <w:rPr>
          <w:rFonts w:cs="Calibri"/>
          <w:b/>
          <w:bCs/>
        </w:rPr>
        <w:t xml:space="preserve">Petition </w:t>
      </w:r>
    </w:p>
    <w:p w14:paraId="57B6E801"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r w:rsidRPr="000D5194">
        <w:rPr>
          <w:rFonts w:cs="Calibri"/>
          <w:b/>
          <w:bCs/>
        </w:rPr>
        <w:t>For</w:t>
      </w:r>
    </w:p>
    <w:p w14:paraId="1EEF5637" w14:textId="77777777" w:rsidR="001C0FEA"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r w:rsidRPr="000D5194">
        <w:rPr>
          <w:rFonts w:cs="Calibri"/>
          <w:b/>
          <w:bCs/>
        </w:rPr>
        <w:t xml:space="preserve">Determination of </w:t>
      </w:r>
      <w:r>
        <w:rPr>
          <w:rFonts w:cs="Calibri"/>
          <w:b/>
          <w:bCs/>
        </w:rPr>
        <w:t>Annual Revenue Requirement (</w:t>
      </w:r>
      <w:proofErr w:type="spellStart"/>
      <w:r>
        <w:rPr>
          <w:rFonts w:cs="Calibri"/>
          <w:b/>
          <w:bCs/>
        </w:rPr>
        <w:t>ARR</w:t>
      </w:r>
      <w:proofErr w:type="spellEnd"/>
      <w:r>
        <w:rPr>
          <w:rFonts w:cs="Calibri"/>
          <w:b/>
          <w:bCs/>
        </w:rPr>
        <w:t>)</w:t>
      </w:r>
      <w:r w:rsidR="001C0FEA">
        <w:rPr>
          <w:rFonts w:cs="Calibri"/>
          <w:b/>
          <w:bCs/>
        </w:rPr>
        <w:t xml:space="preserve"> and </w:t>
      </w:r>
    </w:p>
    <w:p w14:paraId="5ECB4C61" w14:textId="77777777" w:rsidR="001C0FEA" w:rsidRDefault="001C0FEA" w:rsidP="000D5194">
      <w:pPr>
        <w:pBdr>
          <w:top w:val="single" w:sz="24" w:space="16" w:color="auto"/>
          <w:left w:val="single" w:sz="24" w:space="4" w:color="auto"/>
          <w:bottom w:val="single" w:sz="24" w:space="31" w:color="auto"/>
          <w:right w:val="single" w:sz="24" w:space="4" w:color="auto"/>
        </w:pBdr>
        <w:jc w:val="center"/>
        <w:rPr>
          <w:rFonts w:cs="Calibri"/>
          <w:b/>
          <w:bCs/>
        </w:rPr>
      </w:pPr>
      <w:proofErr w:type="spellStart"/>
      <w:r>
        <w:rPr>
          <w:rFonts w:cs="Calibri"/>
          <w:b/>
          <w:bCs/>
        </w:rPr>
        <w:t>SLDC</w:t>
      </w:r>
      <w:proofErr w:type="spellEnd"/>
      <w:r>
        <w:rPr>
          <w:rFonts w:cs="Calibri"/>
          <w:b/>
          <w:bCs/>
        </w:rPr>
        <w:t xml:space="preserve"> operating charges </w:t>
      </w:r>
    </w:p>
    <w:p w14:paraId="383DFB42" w14:textId="77777777" w:rsidR="000D5194" w:rsidRPr="000D5194" w:rsidRDefault="001C0FEA" w:rsidP="000D5194">
      <w:pPr>
        <w:pBdr>
          <w:top w:val="single" w:sz="24" w:space="16" w:color="auto"/>
          <w:left w:val="single" w:sz="24" w:space="4" w:color="auto"/>
          <w:bottom w:val="single" w:sz="24" w:space="31" w:color="auto"/>
          <w:right w:val="single" w:sz="24" w:space="4" w:color="auto"/>
        </w:pBdr>
        <w:jc w:val="center"/>
        <w:rPr>
          <w:rFonts w:cs="Calibri"/>
          <w:b/>
          <w:bCs/>
        </w:rPr>
      </w:pPr>
      <w:proofErr w:type="gramStart"/>
      <w:r>
        <w:rPr>
          <w:rFonts w:cs="Calibri"/>
          <w:b/>
          <w:bCs/>
        </w:rPr>
        <w:t>for</w:t>
      </w:r>
      <w:proofErr w:type="gramEnd"/>
      <w:r>
        <w:rPr>
          <w:rFonts w:cs="Calibri"/>
          <w:b/>
          <w:bCs/>
        </w:rPr>
        <w:t xml:space="preserve"> FY 2018-19</w:t>
      </w:r>
    </w:p>
    <w:p w14:paraId="49BC2131" w14:textId="77777777" w:rsidR="00043A86" w:rsidRDefault="00043A86" w:rsidP="000D5194">
      <w:pPr>
        <w:pBdr>
          <w:top w:val="single" w:sz="24" w:space="16" w:color="auto"/>
          <w:left w:val="single" w:sz="24" w:space="4" w:color="auto"/>
          <w:bottom w:val="single" w:sz="24" w:space="31" w:color="auto"/>
          <w:right w:val="single" w:sz="24" w:space="4" w:color="auto"/>
        </w:pBdr>
        <w:jc w:val="center"/>
        <w:rPr>
          <w:rFonts w:cs="Calibri"/>
          <w:b/>
          <w:bCs/>
        </w:rPr>
      </w:pPr>
      <w:r>
        <w:rPr>
          <w:rFonts w:cs="Calibri"/>
          <w:b/>
          <w:bCs/>
        </w:rPr>
        <w:t xml:space="preserve">For </w:t>
      </w:r>
    </w:p>
    <w:p w14:paraId="459BF32C" w14:textId="6BD9D493" w:rsidR="00043A86"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r>
        <w:rPr>
          <w:rFonts w:cs="Calibri"/>
          <w:b/>
          <w:bCs/>
        </w:rPr>
        <w:t>State Load Despatch Centre</w:t>
      </w:r>
      <w:r w:rsidR="00043A86">
        <w:rPr>
          <w:rFonts w:cs="Calibri"/>
          <w:b/>
          <w:bCs/>
        </w:rPr>
        <w:t xml:space="preserve"> </w:t>
      </w:r>
      <w:r w:rsidR="000D4CF4">
        <w:rPr>
          <w:rFonts w:cs="Calibri"/>
          <w:b/>
          <w:bCs/>
        </w:rPr>
        <w:t>(</w:t>
      </w:r>
      <w:proofErr w:type="spellStart"/>
      <w:r w:rsidR="000D4CF4">
        <w:rPr>
          <w:rFonts w:cs="Calibri"/>
          <w:b/>
          <w:bCs/>
        </w:rPr>
        <w:t>SLDC</w:t>
      </w:r>
      <w:proofErr w:type="spellEnd"/>
      <w:r w:rsidR="000D4CF4" w:rsidRPr="000D5194">
        <w:rPr>
          <w:rFonts w:cs="Calibri"/>
          <w:b/>
          <w:bCs/>
        </w:rPr>
        <w:t>)</w:t>
      </w:r>
      <w:r w:rsidR="000D4CF4">
        <w:rPr>
          <w:rFonts w:cs="Calibri"/>
          <w:b/>
          <w:bCs/>
        </w:rPr>
        <w:t xml:space="preserve"> </w:t>
      </w:r>
    </w:p>
    <w:p w14:paraId="1EBD0A7C" w14:textId="77777777" w:rsidR="00043A86" w:rsidRDefault="000D4CF4" w:rsidP="000D5194">
      <w:pPr>
        <w:pBdr>
          <w:top w:val="single" w:sz="24" w:space="16" w:color="auto"/>
          <w:left w:val="single" w:sz="24" w:space="4" w:color="auto"/>
          <w:bottom w:val="single" w:sz="24" w:space="31" w:color="auto"/>
          <w:right w:val="single" w:sz="24" w:space="4" w:color="auto"/>
        </w:pBdr>
        <w:jc w:val="center"/>
        <w:rPr>
          <w:rFonts w:cs="Calibri"/>
          <w:b/>
          <w:bCs/>
        </w:rPr>
      </w:pPr>
      <w:proofErr w:type="gramStart"/>
      <w:r>
        <w:rPr>
          <w:rFonts w:cs="Calibri"/>
          <w:b/>
          <w:bCs/>
        </w:rPr>
        <w:t>under</w:t>
      </w:r>
      <w:proofErr w:type="gramEnd"/>
      <w:r>
        <w:rPr>
          <w:rFonts w:cs="Calibri"/>
          <w:b/>
          <w:bCs/>
        </w:rPr>
        <w:t xml:space="preserve"> </w:t>
      </w:r>
    </w:p>
    <w:p w14:paraId="63F2DCA6" w14:textId="5547ECEB" w:rsidR="000D5194" w:rsidRPr="000D5194" w:rsidRDefault="000D4CF4" w:rsidP="000D5194">
      <w:pPr>
        <w:pBdr>
          <w:top w:val="single" w:sz="24" w:space="16" w:color="auto"/>
          <w:left w:val="single" w:sz="24" w:space="4" w:color="auto"/>
          <w:bottom w:val="single" w:sz="24" w:space="31" w:color="auto"/>
          <w:right w:val="single" w:sz="24" w:space="4" w:color="auto"/>
        </w:pBdr>
        <w:jc w:val="center"/>
        <w:rPr>
          <w:rFonts w:cs="Calibri"/>
          <w:b/>
          <w:bCs/>
        </w:rPr>
      </w:pPr>
      <w:r>
        <w:rPr>
          <w:rFonts w:cs="Calibri"/>
          <w:b/>
          <w:bCs/>
        </w:rPr>
        <w:t>Bihar State Power Transmission Company Limited</w:t>
      </w:r>
    </w:p>
    <w:p w14:paraId="7707B247" w14:textId="77777777" w:rsidR="000D5194" w:rsidRPr="000D5194" w:rsidRDefault="000D5194" w:rsidP="000D5194">
      <w:pPr>
        <w:pBdr>
          <w:top w:val="single" w:sz="24" w:space="16" w:color="auto"/>
          <w:left w:val="single" w:sz="24" w:space="4" w:color="auto"/>
          <w:bottom w:val="single" w:sz="24" w:space="31" w:color="auto"/>
          <w:right w:val="single" w:sz="24" w:space="4" w:color="auto"/>
        </w:pBdr>
        <w:spacing w:line="276" w:lineRule="auto"/>
        <w:jc w:val="center"/>
        <w:rPr>
          <w:rFonts w:cs="Calibri"/>
          <w:b/>
          <w:bCs/>
        </w:rPr>
      </w:pPr>
      <w:r w:rsidRPr="000D5194">
        <w:rPr>
          <w:rFonts w:cs="Calibri"/>
          <w:b/>
          <w:bCs/>
        </w:rPr>
        <w:t>Patna</w:t>
      </w:r>
    </w:p>
    <w:p w14:paraId="7D4F5629" w14:textId="3748E66F" w:rsidR="000D5194" w:rsidRPr="000D5194" w:rsidRDefault="00F73D1F" w:rsidP="000D5194">
      <w:pPr>
        <w:pBdr>
          <w:top w:val="single" w:sz="24" w:space="16" w:color="auto"/>
          <w:left w:val="single" w:sz="24" w:space="4" w:color="auto"/>
          <w:bottom w:val="single" w:sz="24" w:space="31" w:color="auto"/>
          <w:right w:val="single" w:sz="24" w:space="4" w:color="auto"/>
        </w:pBdr>
        <w:spacing w:line="276" w:lineRule="auto"/>
        <w:jc w:val="center"/>
        <w:rPr>
          <w:rFonts w:cs="Calibri"/>
          <w:b/>
          <w:bCs/>
        </w:rPr>
      </w:pPr>
      <w:r>
        <w:rPr>
          <w:rFonts w:cs="Calibri"/>
          <w:b/>
          <w:noProof/>
          <w:lang w:eastAsia="en-IN" w:bidi="hi-IN"/>
        </w:rPr>
        <w:drawing>
          <wp:inline distT="0" distB="0" distL="0" distR="0" wp14:anchorId="1036CBA9" wp14:editId="0ABACDFF">
            <wp:extent cx="1228725" cy="1009650"/>
            <wp:effectExtent l="0" t="0" r="9525" b="0"/>
            <wp:docPr id="4" name="Picture 4" descr="C:\Users\Manish Shakya\Desktop\LOGO of BSPT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ish Shakya\Desktop\LOGO of BSPTC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67A95336" w14:textId="77777777" w:rsidR="000D5194" w:rsidRPr="000D5194" w:rsidRDefault="000D5194" w:rsidP="000D5194">
      <w:pPr>
        <w:pBdr>
          <w:top w:val="single" w:sz="24" w:space="16" w:color="auto"/>
          <w:left w:val="single" w:sz="24" w:space="4" w:color="auto"/>
          <w:bottom w:val="single" w:sz="24" w:space="31" w:color="auto"/>
          <w:right w:val="single" w:sz="24" w:space="4" w:color="auto"/>
        </w:pBdr>
        <w:spacing w:line="276" w:lineRule="auto"/>
        <w:jc w:val="center"/>
        <w:rPr>
          <w:rFonts w:cs="Calibri"/>
          <w:b/>
          <w:bCs/>
        </w:rPr>
      </w:pPr>
      <w:r w:rsidRPr="00734EE6">
        <w:rPr>
          <w:rFonts w:cs="Calibri"/>
          <w:b/>
          <w:bCs/>
        </w:rPr>
        <w:t>Chief Engineer (</w:t>
      </w:r>
      <w:r w:rsidR="000D4CF4" w:rsidRPr="00734EE6">
        <w:rPr>
          <w:rFonts w:cs="Calibri"/>
          <w:b/>
          <w:bCs/>
        </w:rPr>
        <w:t>System</w:t>
      </w:r>
      <w:r w:rsidR="000D4CF4" w:rsidRPr="00F9727E">
        <w:rPr>
          <w:rFonts w:cs="Calibri"/>
          <w:b/>
          <w:bCs/>
        </w:rPr>
        <w:t xml:space="preserve"> Operations</w:t>
      </w:r>
      <w:r w:rsidRPr="000D5194">
        <w:rPr>
          <w:rFonts w:cs="Calibri"/>
          <w:b/>
          <w:bCs/>
        </w:rPr>
        <w:t>)</w:t>
      </w:r>
    </w:p>
    <w:p w14:paraId="65EA233E" w14:textId="58F84371" w:rsidR="000D5194" w:rsidRPr="000D5194" w:rsidRDefault="00043A86" w:rsidP="000D5194">
      <w:pPr>
        <w:pBdr>
          <w:top w:val="single" w:sz="24" w:space="16" w:color="auto"/>
          <w:left w:val="single" w:sz="24" w:space="4" w:color="auto"/>
          <w:bottom w:val="single" w:sz="24" w:space="31" w:color="auto"/>
          <w:right w:val="single" w:sz="24" w:space="4" w:color="auto"/>
        </w:pBdr>
        <w:spacing w:line="276" w:lineRule="auto"/>
        <w:jc w:val="center"/>
        <w:rPr>
          <w:rFonts w:cs="Calibri"/>
        </w:rPr>
      </w:pPr>
      <w:r w:rsidRPr="00043A86">
        <w:rPr>
          <w:rFonts w:cs="Calibri"/>
          <w:bCs/>
        </w:rPr>
        <w:t>4</w:t>
      </w:r>
      <w:r>
        <w:rPr>
          <w:rFonts w:cs="Calibri"/>
          <w:bCs/>
          <w:vertAlign w:val="superscript"/>
        </w:rPr>
        <w:t xml:space="preserve">th </w:t>
      </w:r>
      <w:r w:rsidR="000D5194" w:rsidRPr="00043A86">
        <w:rPr>
          <w:rFonts w:cs="Calibri"/>
        </w:rPr>
        <w:t>Floor</w:t>
      </w:r>
      <w:r w:rsidR="000D5194" w:rsidRPr="000D5194">
        <w:rPr>
          <w:rFonts w:cs="Calibri"/>
        </w:rPr>
        <w:t xml:space="preserve">, </w:t>
      </w:r>
      <w:proofErr w:type="spellStart"/>
      <w:r w:rsidR="000D5194" w:rsidRPr="000D5194">
        <w:rPr>
          <w:rFonts w:cs="Calibri"/>
        </w:rPr>
        <w:t>Vidyut</w:t>
      </w:r>
      <w:proofErr w:type="spellEnd"/>
      <w:r w:rsidR="000D5194" w:rsidRPr="000D5194">
        <w:rPr>
          <w:rFonts w:cs="Calibri"/>
        </w:rPr>
        <w:t xml:space="preserve"> </w:t>
      </w:r>
      <w:proofErr w:type="spellStart"/>
      <w:r w:rsidR="000D5194" w:rsidRPr="000D5194">
        <w:rPr>
          <w:rFonts w:cs="Calibri"/>
        </w:rPr>
        <w:t>Bhawan</w:t>
      </w:r>
      <w:proofErr w:type="spellEnd"/>
      <w:r w:rsidR="000D5194" w:rsidRPr="000D5194">
        <w:rPr>
          <w:rFonts w:cs="Calibri"/>
        </w:rPr>
        <w:t>-1</w:t>
      </w:r>
    </w:p>
    <w:p w14:paraId="6256FF8D" w14:textId="77777777" w:rsidR="000D5194" w:rsidRPr="000D5194" w:rsidRDefault="000D5194" w:rsidP="000D5194">
      <w:pPr>
        <w:pBdr>
          <w:top w:val="single" w:sz="24" w:space="16" w:color="auto"/>
          <w:left w:val="single" w:sz="24" w:space="4" w:color="auto"/>
          <w:bottom w:val="single" w:sz="24" w:space="31" w:color="auto"/>
          <w:right w:val="single" w:sz="24" w:space="4" w:color="auto"/>
        </w:pBdr>
        <w:spacing w:line="276" w:lineRule="auto"/>
        <w:jc w:val="center"/>
        <w:rPr>
          <w:rFonts w:cs="Calibri"/>
          <w:bCs/>
        </w:rPr>
      </w:pPr>
      <w:r w:rsidRPr="000D5194">
        <w:rPr>
          <w:rFonts w:cs="Calibri"/>
        </w:rPr>
        <w:t xml:space="preserve">Jawaharlal Nehru </w:t>
      </w:r>
      <w:proofErr w:type="spellStart"/>
      <w:r w:rsidRPr="000D5194">
        <w:rPr>
          <w:rFonts w:cs="Calibri"/>
        </w:rPr>
        <w:t>Marg</w:t>
      </w:r>
      <w:proofErr w:type="spellEnd"/>
    </w:p>
    <w:p w14:paraId="3E96B1FE"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Cs/>
        </w:rPr>
      </w:pPr>
      <w:r w:rsidRPr="000D5194">
        <w:rPr>
          <w:rFonts w:cs="Calibri"/>
          <w:bCs/>
        </w:rPr>
        <w:t>Patna – 800 021</w:t>
      </w:r>
    </w:p>
    <w:p w14:paraId="36373B16" w14:textId="77777777" w:rsidR="000D5194" w:rsidRPr="000D5194" w:rsidRDefault="001C0FEA" w:rsidP="000D5194">
      <w:pPr>
        <w:pBdr>
          <w:top w:val="single" w:sz="24" w:space="16" w:color="auto"/>
          <w:left w:val="single" w:sz="24" w:space="4" w:color="auto"/>
          <w:bottom w:val="single" w:sz="24" w:space="31" w:color="auto"/>
          <w:right w:val="single" w:sz="24" w:space="4" w:color="auto"/>
        </w:pBdr>
        <w:jc w:val="center"/>
        <w:rPr>
          <w:rFonts w:cs="Calibri"/>
          <w:b/>
          <w:bCs/>
        </w:rPr>
      </w:pPr>
      <w:r>
        <w:rPr>
          <w:rFonts w:cs="Calibri"/>
          <w:b/>
          <w:bCs/>
        </w:rPr>
        <w:t>15</w:t>
      </w:r>
      <w:r w:rsidR="000D5194" w:rsidRPr="000D5194">
        <w:rPr>
          <w:rFonts w:cs="Calibri"/>
          <w:b/>
          <w:bCs/>
          <w:vertAlign w:val="superscript"/>
        </w:rPr>
        <w:t xml:space="preserve"> </w:t>
      </w:r>
      <w:r>
        <w:rPr>
          <w:rFonts w:cs="Calibri"/>
          <w:b/>
          <w:bCs/>
        </w:rPr>
        <w:t>November</w:t>
      </w:r>
      <w:r w:rsidR="00734EE6">
        <w:rPr>
          <w:rFonts w:cs="Calibri"/>
          <w:b/>
          <w:bCs/>
        </w:rPr>
        <w:t>,</w:t>
      </w:r>
      <w:r>
        <w:rPr>
          <w:rFonts w:cs="Calibri"/>
          <w:b/>
          <w:bCs/>
        </w:rPr>
        <w:t xml:space="preserve"> 2017</w:t>
      </w:r>
    </w:p>
    <w:p w14:paraId="7FE27E59" w14:textId="77777777" w:rsidR="000D5194" w:rsidRPr="000D5194" w:rsidRDefault="000D5194" w:rsidP="000D5194">
      <w:pPr>
        <w:pBdr>
          <w:top w:val="single" w:sz="24" w:space="16" w:color="auto"/>
          <w:left w:val="single" w:sz="24" w:space="4" w:color="auto"/>
          <w:bottom w:val="single" w:sz="24" w:space="31" w:color="auto"/>
          <w:right w:val="single" w:sz="24" w:space="4" w:color="auto"/>
        </w:pBdr>
        <w:jc w:val="center"/>
        <w:rPr>
          <w:rFonts w:cs="Calibri"/>
          <w:b/>
          <w:bCs/>
        </w:rPr>
      </w:pPr>
    </w:p>
    <w:p w14:paraId="2F1627DA" w14:textId="77777777" w:rsidR="000D5194" w:rsidRPr="000D5194" w:rsidRDefault="000D5194" w:rsidP="000D5194"/>
    <w:p w14:paraId="00039211" w14:textId="77777777" w:rsidR="000D5194" w:rsidRPr="000D5194" w:rsidRDefault="000D5194" w:rsidP="000D5194">
      <w:pPr>
        <w:spacing w:after="200" w:line="276" w:lineRule="auto"/>
        <w:jc w:val="left"/>
      </w:pPr>
      <w:r w:rsidRPr="000D5194">
        <w:br w:type="page"/>
      </w:r>
    </w:p>
    <w:p w14:paraId="24074EAC" w14:textId="77777777" w:rsidR="000D5194" w:rsidRPr="000D5194" w:rsidRDefault="000D5194" w:rsidP="000D5194"/>
    <w:p w14:paraId="13F4707F" w14:textId="024ADD0C" w:rsidR="000D5194" w:rsidRPr="00043A86" w:rsidRDefault="000D5194" w:rsidP="00043A86">
      <w:pPr>
        <w:rPr>
          <w:b/>
        </w:rPr>
      </w:pPr>
      <w:r w:rsidRPr="000D5194">
        <w:rPr>
          <w:b/>
        </w:rPr>
        <w:t>BEFORE, THE BIHAR ELE</w:t>
      </w:r>
      <w:r w:rsidR="00043A86">
        <w:rPr>
          <w:b/>
        </w:rPr>
        <w:t>CTRICITY REGULATORY COMMISSION,</w:t>
      </w:r>
    </w:p>
    <w:p w14:paraId="238C79A0" w14:textId="77777777" w:rsidR="000D5194" w:rsidRPr="000D5194" w:rsidRDefault="000D5194" w:rsidP="000D5194">
      <w:pPr>
        <w:widowControl w:val="0"/>
        <w:spacing w:before="177" w:line="276" w:lineRule="auto"/>
        <w:ind w:right="132"/>
        <w:rPr>
          <w:rFonts w:eastAsia="Calibri" w:cs="David"/>
          <w:spacing w:val="-1"/>
        </w:rPr>
      </w:pPr>
      <w:r w:rsidRPr="000D5194">
        <w:rPr>
          <w:rFonts w:eastAsia="Calibri" w:cs="David"/>
        </w:rPr>
        <w:t>IN</w:t>
      </w:r>
      <w:r w:rsidRPr="000D5194">
        <w:rPr>
          <w:rFonts w:eastAsia="Calibri" w:cs="David"/>
          <w:spacing w:val="-1"/>
        </w:rPr>
        <w:t xml:space="preserve"> THE MATTER OF</w:t>
      </w:r>
    </w:p>
    <w:p w14:paraId="5F22BF85" w14:textId="77777777" w:rsidR="000D5194" w:rsidRPr="000D5194" w:rsidRDefault="000D5194" w:rsidP="000D5194">
      <w:pPr>
        <w:widowControl w:val="0"/>
        <w:spacing w:before="177" w:line="276" w:lineRule="auto"/>
        <w:ind w:right="132"/>
        <w:rPr>
          <w:rFonts w:eastAsia="Calibri"/>
        </w:rPr>
      </w:pPr>
      <w:r w:rsidRPr="000D5194">
        <w:rPr>
          <w:rFonts w:eastAsia="Calibri" w:cs="David"/>
          <w:spacing w:val="-1"/>
        </w:rPr>
        <w:t>Filing of the Petition for Determination of Annual Revenue Requirement (</w:t>
      </w:r>
      <w:proofErr w:type="spellStart"/>
      <w:r w:rsidRPr="000D5194">
        <w:rPr>
          <w:rFonts w:eastAsia="Calibri" w:cs="David"/>
          <w:spacing w:val="-1"/>
        </w:rPr>
        <w:t>ARR</w:t>
      </w:r>
      <w:proofErr w:type="spellEnd"/>
      <w:r w:rsidRPr="000D5194">
        <w:rPr>
          <w:rFonts w:eastAsia="Calibri" w:cs="David"/>
          <w:spacing w:val="-1"/>
        </w:rPr>
        <w:t>)</w:t>
      </w:r>
      <w:r w:rsidR="001C0FEA">
        <w:rPr>
          <w:rFonts w:eastAsia="Calibri" w:cs="David"/>
          <w:spacing w:val="-1"/>
        </w:rPr>
        <w:t xml:space="preserve"> and </w:t>
      </w:r>
      <w:proofErr w:type="spellStart"/>
      <w:r w:rsidR="001C0FEA" w:rsidRPr="001C0FEA">
        <w:rPr>
          <w:rFonts w:eastAsia="Calibri" w:cs="David"/>
          <w:spacing w:val="-1"/>
        </w:rPr>
        <w:t>SLDC</w:t>
      </w:r>
      <w:proofErr w:type="spellEnd"/>
      <w:r w:rsidR="001C0FEA" w:rsidRPr="001C0FEA">
        <w:rPr>
          <w:rFonts w:eastAsia="Calibri" w:cs="David"/>
          <w:spacing w:val="-1"/>
        </w:rPr>
        <w:t xml:space="preserve"> operating charges</w:t>
      </w:r>
      <w:r w:rsidRPr="000D5194">
        <w:rPr>
          <w:rFonts w:eastAsia="Calibri" w:cs="David"/>
          <w:spacing w:val="-1"/>
        </w:rPr>
        <w:t xml:space="preserve"> </w:t>
      </w:r>
      <w:r w:rsidR="001C0FEA">
        <w:rPr>
          <w:rFonts w:eastAsia="Calibri" w:cs="David"/>
          <w:spacing w:val="-1"/>
        </w:rPr>
        <w:t xml:space="preserve">for FY 2018-19 under </w:t>
      </w:r>
      <w:proofErr w:type="spellStart"/>
      <w:r w:rsidRPr="000D5194">
        <w:rPr>
          <w:rFonts w:eastAsia="Calibri" w:cs="David"/>
          <w:spacing w:val="-1"/>
        </w:rPr>
        <w:t>BERC</w:t>
      </w:r>
      <w:proofErr w:type="spellEnd"/>
      <w:r w:rsidRPr="000D5194">
        <w:rPr>
          <w:rFonts w:eastAsia="Calibri" w:cs="David"/>
          <w:spacing w:val="-1"/>
        </w:rPr>
        <w:t xml:space="preserve"> (Terms and Conditions for Determination of Tariff) Regulations, 2007 along with the other guidelines and directions issued by the </w:t>
      </w:r>
      <w:proofErr w:type="spellStart"/>
      <w:r w:rsidRPr="000D5194">
        <w:rPr>
          <w:rFonts w:eastAsia="Calibri" w:cs="David"/>
          <w:spacing w:val="-1"/>
        </w:rPr>
        <w:t>BERC</w:t>
      </w:r>
      <w:proofErr w:type="spellEnd"/>
      <w:r w:rsidRPr="000D5194">
        <w:rPr>
          <w:rFonts w:eastAsia="Calibri" w:cs="David"/>
          <w:spacing w:val="-1"/>
        </w:rPr>
        <w:t xml:space="preserve"> from time to time</w:t>
      </w:r>
      <w:r w:rsidRPr="000D5194">
        <w:rPr>
          <w:rFonts w:eastAsia="Calibri"/>
          <w:spacing w:val="-1"/>
        </w:rPr>
        <w:t>.</w:t>
      </w:r>
    </w:p>
    <w:p w14:paraId="531A4DB2" w14:textId="77777777" w:rsidR="000D5194" w:rsidRPr="000D5194" w:rsidRDefault="000D5194" w:rsidP="000D5194">
      <w:pPr>
        <w:widowControl w:val="0"/>
        <w:spacing w:before="8"/>
        <w:rPr>
          <w:rFonts w:eastAsia="Calibri" w:cs="Calibri"/>
          <w:highlight w:val="yellow"/>
        </w:rPr>
      </w:pPr>
    </w:p>
    <w:p w14:paraId="33239396" w14:textId="77777777" w:rsidR="000D5194" w:rsidRPr="000D5194" w:rsidRDefault="000D5194" w:rsidP="000D5194">
      <w:pPr>
        <w:widowControl w:val="0"/>
        <w:tabs>
          <w:tab w:val="left" w:pos="284"/>
        </w:tabs>
        <w:ind w:left="2480" w:hanging="2622"/>
        <w:rPr>
          <w:rFonts w:eastAsia="Calibri" w:cs="David"/>
        </w:rPr>
      </w:pPr>
      <w:r w:rsidRPr="000D5194">
        <w:rPr>
          <w:rFonts w:eastAsia="Calibri"/>
        </w:rPr>
        <w:t xml:space="preserve">   </w:t>
      </w:r>
      <w:r w:rsidRPr="000D5194">
        <w:rPr>
          <w:rFonts w:eastAsia="Calibri" w:cs="David"/>
        </w:rPr>
        <w:t>AND</w:t>
      </w:r>
    </w:p>
    <w:p w14:paraId="76E1A6DF" w14:textId="77777777" w:rsidR="000D5194" w:rsidRPr="000D5194" w:rsidRDefault="000D5194" w:rsidP="000D5194">
      <w:pPr>
        <w:widowControl w:val="0"/>
        <w:ind w:left="2480" w:hanging="2622"/>
        <w:rPr>
          <w:rFonts w:eastAsia="Calibri" w:cs="David"/>
        </w:rPr>
      </w:pPr>
    </w:p>
    <w:p w14:paraId="49CBC0DB" w14:textId="77777777" w:rsidR="000D5194" w:rsidRPr="000D5194" w:rsidRDefault="000D5194" w:rsidP="000D5194">
      <w:pPr>
        <w:widowControl w:val="0"/>
        <w:ind w:left="2480" w:hanging="2480"/>
        <w:rPr>
          <w:rFonts w:eastAsia="Calibri" w:cs="David"/>
        </w:rPr>
      </w:pPr>
      <w:r w:rsidRPr="000D5194">
        <w:rPr>
          <w:rFonts w:eastAsia="Calibri" w:cs="David"/>
        </w:rPr>
        <w:t xml:space="preserve">IN </w:t>
      </w:r>
      <w:r w:rsidRPr="000D5194">
        <w:rPr>
          <w:rFonts w:eastAsia="Calibri" w:cs="David"/>
          <w:spacing w:val="-1"/>
        </w:rPr>
        <w:t xml:space="preserve">THE MATTER OF </w:t>
      </w:r>
    </w:p>
    <w:p w14:paraId="28B2778A" w14:textId="77777777" w:rsidR="000D5194" w:rsidRPr="000D5194" w:rsidRDefault="000D5194" w:rsidP="000D5194">
      <w:pPr>
        <w:widowControl w:val="0"/>
        <w:tabs>
          <w:tab w:val="left" w:pos="2480"/>
          <w:tab w:val="left" w:pos="3366"/>
          <w:tab w:val="left" w:pos="4247"/>
          <w:tab w:val="left" w:pos="5267"/>
          <w:tab w:val="left" w:pos="7060"/>
          <w:tab w:val="left" w:pos="8362"/>
        </w:tabs>
        <w:ind w:left="140"/>
        <w:rPr>
          <w:rFonts w:eastAsia="Calibri" w:cs="David"/>
          <w:spacing w:val="-1"/>
        </w:rPr>
      </w:pPr>
    </w:p>
    <w:p w14:paraId="61A0A4C6" w14:textId="77777777" w:rsidR="000D5194" w:rsidRPr="000D5194" w:rsidRDefault="000D4CF4" w:rsidP="000D5194">
      <w:pPr>
        <w:widowControl w:val="0"/>
        <w:tabs>
          <w:tab w:val="left" w:pos="2480"/>
          <w:tab w:val="left" w:pos="3366"/>
          <w:tab w:val="left" w:pos="4247"/>
          <w:tab w:val="left" w:pos="5267"/>
          <w:tab w:val="left" w:pos="7060"/>
          <w:tab w:val="left" w:pos="8362"/>
        </w:tabs>
        <w:rPr>
          <w:rFonts w:eastAsia="Calibri" w:cs="David"/>
        </w:rPr>
      </w:pPr>
      <w:r>
        <w:rPr>
          <w:rFonts w:eastAsia="Calibri" w:cs="David"/>
          <w:spacing w:val="-1"/>
          <w:w w:val="95"/>
        </w:rPr>
        <w:t xml:space="preserve">Bihar </w:t>
      </w:r>
      <w:r w:rsidR="000D5194">
        <w:rPr>
          <w:rFonts w:eastAsia="Calibri" w:cs="David"/>
          <w:spacing w:val="-1"/>
          <w:w w:val="95"/>
        </w:rPr>
        <w:t>State Load Despatch Centre</w:t>
      </w:r>
      <w:r w:rsidR="000D5194" w:rsidRPr="000D5194">
        <w:rPr>
          <w:rFonts w:eastAsia="Calibri" w:cs="David"/>
        </w:rPr>
        <w:t xml:space="preserve"> </w:t>
      </w:r>
      <w:r w:rsidR="000D5194" w:rsidRPr="000D5194">
        <w:rPr>
          <w:rFonts w:eastAsia="Calibri" w:cs="David"/>
          <w:spacing w:val="-1"/>
        </w:rPr>
        <w:t xml:space="preserve">(hereinafter referred to </w:t>
      </w:r>
      <w:r w:rsidR="000D5194" w:rsidRPr="000D5194">
        <w:rPr>
          <w:rFonts w:eastAsia="Calibri" w:cs="David"/>
        </w:rPr>
        <w:t xml:space="preserve">as </w:t>
      </w:r>
      <w:r w:rsidR="000D5194">
        <w:rPr>
          <w:rFonts w:eastAsia="Calibri" w:cs="David"/>
        </w:rPr>
        <w:t>‘’</w:t>
      </w:r>
      <w:proofErr w:type="spellStart"/>
      <w:r w:rsidR="000D5194">
        <w:rPr>
          <w:rFonts w:eastAsia="Calibri" w:cs="David"/>
        </w:rPr>
        <w:t>SLDC</w:t>
      </w:r>
      <w:proofErr w:type="spellEnd"/>
      <w:r w:rsidR="000D5194" w:rsidRPr="000D5194">
        <w:rPr>
          <w:rFonts w:eastAsia="Calibri" w:cs="David"/>
        </w:rPr>
        <w:t xml:space="preserve">’’ or </w:t>
      </w:r>
      <w:r w:rsidR="000D5194" w:rsidRPr="000D5194">
        <w:rPr>
          <w:rFonts w:eastAsia="Calibri" w:cs="David"/>
          <w:spacing w:val="-1"/>
        </w:rPr>
        <w:t xml:space="preserve">‘’Petitioner’ ’which shall mean for the purpose </w:t>
      </w:r>
      <w:r w:rsidR="000D5194" w:rsidRPr="000D5194">
        <w:rPr>
          <w:rFonts w:eastAsia="Calibri" w:cs="David"/>
        </w:rPr>
        <w:t xml:space="preserve">of this </w:t>
      </w:r>
      <w:r w:rsidR="000D5194" w:rsidRPr="000D5194">
        <w:rPr>
          <w:rFonts w:eastAsia="Calibri" w:cs="David"/>
          <w:spacing w:val="-1"/>
        </w:rPr>
        <w:t xml:space="preserve">petition the Licensee), having its registered office </w:t>
      </w:r>
      <w:r w:rsidR="000D5194" w:rsidRPr="000D5194">
        <w:rPr>
          <w:rFonts w:eastAsia="Calibri" w:cs="David"/>
        </w:rPr>
        <w:t xml:space="preserve">at </w:t>
      </w:r>
      <w:proofErr w:type="spellStart"/>
      <w:r w:rsidR="000D5194" w:rsidRPr="000D5194">
        <w:rPr>
          <w:rFonts w:eastAsia="Calibri" w:cs="David"/>
          <w:spacing w:val="-1"/>
        </w:rPr>
        <w:t>Vidyut</w:t>
      </w:r>
      <w:proofErr w:type="spellEnd"/>
      <w:r w:rsidR="000D5194" w:rsidRPr="000D5194">
        <w:rPr>
          <w:rFonts w:eastAsia="Calibri" w:cs="David"/>
          <w:spacing w:val="-1"/>
        </w:rPr>
        <w:t xml:space="preserve"> </w:t>
      </w:r>
      <w:proofErr w:type="spellStart"/>
      <w:r w:rsidR="000D5194" w:rsidRPr="000D5194">
        <w:rPr>
          <w:rFonts w:eastAsia="Calibri" w:cs="David"/>
          <w:spacing w:val="-1"/>
        </w:rPr>
        <w:t>Bhawan</w:t>
      </w:r>
      <w:proofErr w:type="spellEnd"/>
      <w:r w:rsidR="000D5194" w:rsidRPr="000D5194">
        <w:rPr>
          <w:rFonts w:eastAsia="Calibri" w:cs="David"/>
          <w:spacing w:val="-1"/>
        </w:rPr>
        <w:t xml:space="preserve">-1, Jawaharlal Nehru </w:t>
      </w:r>
      <w:proofErr w:type="spellStart"/>
      <w:r w:rsidR="000D5194" w:rsidRPr="000D5194">
        <w:rPr>
          <w:rFonts w:eastAsia="Calibri" w:cs="David"/>
          <w:spacing w:val="-1"/>
        </w:rPr>
        <w:t>Marg</w:t>
      </w:r>
      <w:proofErr w:type="spellEnd"/>
      <w:r w:rsidR="000D5194" w:rsidRPr="000D5194">
        <w:rPr>
          <w:rFonts w:eastAsia="Calibri" w:cs="David"/>
          <w:spacing w:val="-1"/>
        </w:rPr>
        <w:t>, Patna.</w:t>
      </w:r>
    </w:p>
    <w:p w14:paraId="6ADE303F" w14:textId="77777777" w:rsidR="000D5194" w:rsidRPr="000D5194" w:rsidRDefault="000D5194" w:rsidP="000D5194">
      <w:pPr>
        <w:widowControl w:val="0"/>
        <w:spacing w:before="9"/>
        <w:rPr>
          <w:rFonts w:eastAsia="Calibri" w:cs="David"/>
          <w:highlight w:val="yellow"/>
        </w:rPr>
      </w:pPr>
    </w:p>
    <w:p w14:paraId="68EDC570" w14:textId="77777777" w:rsidR="000D5194" w:rsidRPr="000D5194" w:rsidRDefault="000D5194" w:rsidP="000D5194">
      <w:pPr>
        <w:widowControl w:val="0"/>
        <w:rPr>
          <w:rFonts w:eastAsia="Calibri" w:cs="David"/>
          <w:spacing w:val="-1"/>
        </w:rPr>
      </w:pPr>
      <w:r w:rsidRPr="000D5194">
        <w:rPr>
          <w:rFonts w:eastAsia="Calibri" w:cs="David"/>
        </w:rPr>
        <w:t xml:space="preserve">The </w:t>
      </w:r>
      <w:r w:rsidRPr="000D5194">
        <w:rPr>
          <w:rFonts w:eastAsia="Calibri" w:cs="David"/>
          <w:spacing w:val="-1"/>
        </w:rPr>
        <w:t xml:space="preserve">Petitioner respectfully submits </w:t>
      </w:r>
      <w:r w:rsidRPr="000D5194">
        <w:rPr>
          <w:rFonts w:eastAsia="Calibri" w:cs="David"/>
        </w:rPr>
        <w:t xml:space="preserve">as </w:t>
      </w:r>
      <w:r w:rsidRPr="000D5194">
        <w:rPr>
          <w:rFonts w:eastAsia="Calibri" w:cs="David"/>
          <w:spacing w:val="-1"/>
        </w:rPr>
        <w:t>under:</w:t>
      </w:r>
    </w:p>
    <w:p w14:paraId="04BC50E7" w14:textId="77777777" w:rsidR="000D5194" w:rsidRPr="000D5194" w:rsidRDefault="000D5194" w:rsidP="000D5194">
      <w:pPr>
        <w:widowControl w:val="0"/>
        <w:rPr>
          <w:rFonts w:eastAsia="Calibri" w:cs="David"/>
        </w:rPr>
      </w:pPr>
    </w:p>
    <w:p w14:paraId="47786105" w14:textId="77777777" w:rsidR="000D5194" w:rsidRPr="000D5194" w:rsidRDefault="000D5194" w:rsidP="00C652D0">
      <w:pPr>
        <w:widowControl w:val="0"/>
        <w:numPr>
          <w:ilvl w:val="0"/>
          <w:numId w:val="6"/>
        </w:numPr>
        <w:tabs>
          <w:tab w:val="left" w:pos="501"/>
        </w:tabs>
        <w:spacing w:line="276" w:lineRule="auto"/>
        <w:ind w:right="137"/>
        <w:rPr>
          <w:rFonts w:eastAsia="Calibri" w:cs="David"/>
        </w:rPr>
      </w:pPr>
      <w:r w:rsidRPr="000D5194">
        <w:rPr>
          <w:rFonts w:eastAsia="Calibri" w:cs="David"/>
        </w:rPr>
        <w:t xml:space="preserve">Pursuant to the enactment of the Electricity Act, 2003, </w:t>
      </w:r>
      <w:r>
        <w:rPr>
          <w:rFonts w:eastAsia="Calibri" w:cs="David"/>
        </w:rPr>
        <w:t xml:space="preserve">State Load Despatch Centre </w:t>
      </w:r>
      <w:r w:rsidRPr="000D5194">
        <w:rPr>
          <w:rFonts w:eastAsia="Calibri" w:cs="David"/>
        </w:rPr>
        <w:t>(h</w:t>
      </w:r>
      <w:r>
        <w:rPr>
          <w:rFonts w:eastAsia="Calibri" w:cs="David"/>
        </w:rPr>
        <w:t xml:space="preserve">ereinafter referred to as </w:t>
      </w:r>
      <w:proofErr w:type="spellStart"/>
      <w:r>
        <w:rPr>
          <w:rFonts w:eastAsia="Calibri" w:cs="David"/>
        </w:rPr>
        <w:t>SLDC</w:t>
      </w:r>
      <w:proofErr w:type="spellEnd"/>
      <w:r w:rsidRPr="000D5194">
        <w:rPr>
          <w:rFonts w:eastAsia="Calibri" w:cs="David"/>
        </w:rPr>
        <w:t>) is filing this petition for</w:t>
      </w:r>
      <w:r w:rsidRPr="000D5194">
        <w:rPr>
          <w:rFonts w:eastAsia="Calibri" w:cs="David"/>
          <w:spacing w:val="-1"/>
        </w:rPr>
        <w:t xml:space="preserve"> Determinat</w:t>
      </w:r>
      <w:r w:rsidR="00A13971">
        <w:rPr>
          <w:rFonts w:eastAsia="Calibri" w:cs="David"/>
          <w:spacing w:val="-1"/>
        </w:rPr>
        <w:t>ion of Aggregate Revenue Requirement</w:t>
      </w:r>
      <w:r w:rsidR="001C0FEA">
        <w:rPr>
          <w:rFonts w:eastAsia="Calibri" w:cs="David"/>
          <w:spacing w:val="-1"/>
        </w:rPr>
        <w:t xml:space="preserve"> and </w:t>
      </w:r>
      <w:proofErr w:type="spellStart"/>
      <w:r w:rsidR="001C0FEA" w:rsidRPr="001C0FEA">
        <w:rPr>
          <w:rFonts w:eastAsia="Calibri" w:cs="David"/>
          <w:spacing w:val="-1"/>
        </w:rPr>
        <w:t>SLDC</w:t>
      </w:r>
      <w:proofErr w:type="spellEnd"/>
      <w:r w:rsidR="001C0FEA" w:rsidRPr="001C0FEA">
        <w:rPr>
          <w:rFonts w:eastAsia="Calibri" w:cs="David"/>
          <w:spacing w:val="-1"/>
        </w:rPr>
        <w:t xml:space="preserve"> operating charges</w:t>
      </w:r>
      <w:r w:rsidR="001C0FEA">
        <w:rPr>
          <w:rFonts w:eastAsia="Calibri" w:cs="David"/>
          <w:spacing w:val="-1"/>
        </w:rPr>
        <w:t xml:space="preserve"> for FY 2018-19</w:t>
      </w:r>
      <w:r w:rsidRPr="000D5194">
        <w:rPr>
          <w:rFonts w:eastAsia="Calibri" w:cs="David"/>
          <w:spacing w:val="-1"/>
        </w:rPr>
        <w:t xml:space="preserve"> </w:t>
      </w:r>
      <w:r w:rsidRPr="000D5194">
        <w:rPr>
          <w:rFonts w:eastAsia="Calibri" w:cs="David"/>
        </w:rPr>
        <w:t>as per procedures outlined in the governing regulations thereof.</w:t>
      </w:r>
    </w:p>
    <w:p w14:paraId="702ED202" w14:textId="77777777" w:rsidR="000D5194" w:rsidRPr="000D5194" w:rsidRDefault="000D5194" w:rsidP="000D5194">
      <w:pPr>
        <w:autoSpaceDE w:val="0"/>
        <w:autoSpaceDN w:val="0"/>
        <w:adjustRightInd w:val="0"/>
        <w:ind w:left="500"/>
        <w:rPr>
          <w:rFonts w:ascii="David" w:eastAsia="Calibri" w:hAnsi="David" w:cs="David"/>
          <w:color w:val="000000"/>
          <w:lang w:eastAsia="en-IN"/>
        </w:rPr>
      </w:pPr>
    </w:p>
    <w:p w14:paraId="4F3B84B8" w14:textId="69F7BC27" w:rsidR="000D5194" w:rsidRPr="000D5194" w:rsidRDefault="000D5194" w:rsidP="00C652D0">
      <w:pPr>
        <w:widowControl w:val="0"/>
        <w:numPr>
          <w:ilvl w:val="0"/>
          <w:numId w:val="6"/>
        </w:numPr>
        <w:tabs>
          <w:tab w:val="left" w:pos="501"/>
        </w:tabs>
        <w:spacing w:line="276" w:lineRule="auto"/>
        <w:ind w:right="137"/>
        <w:rPr>
          <w:rFonts w:eastAsia="Calibri" w:cs="David"/>
        </w:rPr>
      </w:pPr>
      <w:r w:rsidRPr="000D5194">
        <w:rPr>
          <w:rFonts w:eastAsia="Calibri" w:cs="David"/>
        </w:rPr>
        <w:t>The Multi-year Tariff (</w:t>
      </w:r>
      <w:proofErr w:type="spellStart"/>
      <w:r w:rsidRPr="000D5194">
        <w:rPr>
          <w:rFonts w:eastAsia="Calibri" w:cs="David"/>
        </w:rPr>
        <w:t>MYT</w:t>
      </w:r>
      <w:proofErr w:type="spellEnd"/>
      <w:r w:rsidRPr="000D5194">
        <w:rPr>
          <w:rFonts w:eastAsia="Calibri" w:cs="David"/>
        </w:rPr>
        <w:t xml:space="preserve">) petition for control period FY 2013-14 to FY 2015-16 was filed on 14.11.2012 by </w:t>
      </w:r>
      <w:proofErr w:type="spellStart"/>
      <w:r w:rsidRPr="000D5194">
        <w:rPr>
          <w:rFonts w:eastAsia="Calibri" w:cs="David"/>
        </w:rPr>
        <w:t>BSPHCL</w:t>
      </w:r>
      <w:proofErr w:type="spellEnd"/>
      <w:r w:rsidRPr="000D5194">
        <w:rPr>
          <w:rFonts w:eastAsia="Calibri" w:cs="David"/>
        </w:rPr>
        <w:t xml:space="preserve"> on behalf of all companies and accordingly the Hon’ble Commission had issued common order for all entities (tariff order dated March 15</w:t>
      </w:r>
      <w:r w:rsidR="001C0FEA">
        <w:rPr>
          <w:rFonts w:eastAsia="Calibri" w:cs="David"/>
        </w:rPr>
        <w:t>,</w:t>
      </w:r>
      <w:r w:rsidRPr="000D5194">
        <w:rPr>
          <w:rFonts w:eastAsia="Calibri" w:cs="David"/>
        </w:rPr>
        <w:t xml:space="preserve"> 2013). </w:t>
      </w:r>
    </w:p>
    <w:p w14:paraId="395F798F" w14:textId="77777777" w:rsidR="000D5194" w:rsidRPr="000D5194" w:rsidRDefault="000D5194" w:rsidP="000D5194">
      <w:pPr>
        <w:autoSpaceDE w:val="0"/>
        <w:autoSpaceDN w:val="0"/>
        <w:adjustRightInd w:val="0"/>
        <w:ind w:left="500"/>
        <w:rPr>
          <w:rFonts w:ascii="David" w:eastAsia="Calibri" w:hAnsi="David" w:cs="David"/>
          <w:color w:val="000000"/>
          <w:sz w:val="28"/>
          <w:szCs w:val="28"/>
          <w:lang w:eastAsia="en-IN"/>
        </w:rPr>
      </w:pPr>
    </w:p>
    <w:p w14:paraId="1EC74050" w14:textId="77777777" w:rsidR="000D5194" w:rsidRPr="000D5194" w:rsidRDefault="000D5194" w:rsidP="00C652D0">
      <w:pPr>
        <w:widowControl w:val="0"/>
        <w:numPr>
          <w:ilvl w:val="0"/>
          <w:numId w:val="6"/>
        </w:numPr>
        <w:tabs>
          <w:tab w:val="left" w:pos="501"/>
        </w:tabs>
        <w:spacing w:line="276" w:lineRule="auto"/>
        <w:ind w:right="137"/>
        <w:rPr>
          <w:rFonts w:eastAsia="Calibri" w:cs="David"/>
        </w:rPr>
      </w:pPr>
      <w:r w:rsidRPr="000D5194">
        <w:rPr>
          <w:rFonts w:eastAsia="Calibri" w:cs="David"/>
        </w:rPr>
        <w:t xml:space="preserve">The </w:t>
      </w:r>
      <w:r w:rsidR="00A13971">
        <w:rPr>
          <w:rFonts w:eastAsia="Calibri" w:cs="David"/>
        </w:rPr>
        <w:t xml:space="preserve">Hon’ble Commission in the </w:t>
      </w:r>
      <w:proofErr w:type="spellStart"/>
      <w:r w:rsidR="00A13971">
        <w:rPr>
          <w:rFonts w:eastAsia="Calibri" w:cs="David"/>
        </w:rPr>
        <w:t>MYT</w:t>
      </w:r>
      <w:proofErr w:type="spellEnd"/>
      <w:r w:rsidR="00A13971">
        <w:rPr>
          <w:rFonts w:eastAsia="Calibri" w:cs="David"/>
        </w:rPr>
        <w:t xml:space="preserve"> Order dated 21 March, 2016, had directed </w:t>
      </w:r>
      <w:proofErr w:type="spellStart"/>
      <w:r w:rsidR="00A13971">
        <w:rPr>
          <w:rFonts w:eastAsia="Calibri" w:cs="David"/>
        </w:rPr>
        <w:t>SLDC</w:t>
      </w:r>
      <w:proofErr w:type="spellEnd"/>
      <w:r w:rsidR="00A13971">
        <w:rPr>
          <w:rFonts w:eastAsia="Calibri" w:cs="David"/>
        </w:rPr>
        <w:t xml:space="preserve"> to file separate Petition for Determination of Aggregate Revenue Requirement.</w:t>
      </w:r>
    </w:p>
    <w:p w14:paraId="5CFAFCFA" w14:textId="77777777" w:rsidR="000D5194" w:rsidRPr="000D5194" w:rsidRDefault="000D5194" w:rsidP="00A13971">
      <w:pPr>
        <w:contextualSpacing/>
        <w:rPr>
          <w:rFonts w:cs="David"/>
          <w:szCs w:val="24"/>
        </w:rPr>
      </w:pPr>
    </w:p>
    <w:p w14:paraId="23C7DA57" w14:textId="0308943C" w:rsidR="001C0FEA" w:rsidRPr="001C0FEA" w:rsidRDefault="001C0FEA" w:rsidP="00C652D0">
      <w:pPr>
        <w:widowControl w:val="0"/>
        <w:numPr>
          <w:ilvl w:val="0"/>
          <w:numId w:val="6"/>
        </w:numPr>
        <w:tabs>
          <w:tab w:val="left" w:pos="501"/>
        </w:tabs>
        <w:spacing w:line="276" w:lineRule="auto"/>
        <w:ind w:right="137"/>
        <w:rPr>
          <w:rFonts w:eastAsia="Times New Roman" w:cs="David"/>
          <w:szCs w:val="24"/>
          <w:lang w:val="en-US"/>
        </w:rPr>
      </w:pPr>
      <w:r w:rsidRPr="001C0FEA">
        <w:rPr>
          <w:rFonts w:eastAsia="Calibri" w:cs="David"/>
        </w:rPr>
        <w:t xml:space="preserve">In compliance of the </w:t>
      </w:r>
      <w:proofErr w:type="spellStart"/>
      <w:r w:rsidRPr="001C0FEA">
        <w:rPr>
          <w:rFonts w:eastAsia="Calibri" w:cs="David"/>
        </w:rPr>
        <w:t>BERC</w:t>
      </w:r>
      <w:proofErr w:type="spellEnd"/>
      <w:r w:rsidRPr="001C0FEA">
        <w:rPr>
          <w:rFonts w:eastAsia="Calibri" w:cs="David"/>
        </w:rPr>
        <w:t xml:space="preserve"> Regulations and</w:t>
      </w:r>
      <w:r w:rsidR="00FC3260">
        <w:rPr>
          <w:rFonts w:eastAsia="Calibri" w:cs="David"/>
        </w:rPr>
        <w:t xml:space="preserve"> </w:t>
      </w:r>
      <w:r w:rsidRPr="001C0FEA">
        <w:rPr>
          <w:rFonts w:eastAsia="Calibri" w:cs="David"/>
        </w:rPr>
        <w:t xml:space="preserve">Directives, </w:t>
      </w:r>
      <w:proofErr w:type="spellStart"/>
      <w:r w:rsidRPr="001C0FEA">
        <w:rPr>
          <w:rFonts w:eastAsia="Calibri" w:cs="David"/>
        </w:rPr>
        <w:t>BSPTCL</w:t>
      </w:r>
      <w:proofErr w:type="spellEnd"/>
      <w:r w:rsidRPr="001C0FEA">
        <w:rPr>
          <w:rFonts w:eastAsia="Calibri" w:cs="David"/>
        </w:rPr>
        <w:t xml:space="preserve"> for the first time filed separate petition for</w:t>
      </w:r>
      <w:r>
        <w:rPr>
          <w:rFonts w:eastAsia="Calibri" w:cs="David"/>
        </w:rPr>
        <w:t xml:space="preserve"> </w:t>
      </w:r>
      <w:proofErr w:type="spellStart"/>
      <w:r w:rsidRPr="001C0FEA">
        <w:rPr>
          <w:rFonts w:eastAsia="Calibri" w:cs="David"/>
        </w:rPr>
        <w:t>ARR</w:t>
      </w:r>
      <w:proofErr w:type="spellEnd"/>
      <w:r w:rsidRPr="001C0FEA">
        <w:rPr>
          <w:rFonts w:eastAsia="Calibri" w:cs="David"/>
        </w:rPr>
        <w:t xml:space="preserve"> of </w:t>
      </w:r>
      <w:r w:rsidR="0045511F">
        <w:rPr>
          <w:rFonts w:eastAsia="Calibri" w:cs="David"/>
        </w:rPr>
        <w:t xml:space="preserve">FY 2017-18 for </w:t>
      </w:r>
      <w:proofErr w:type="spellStart"/>
      <w:r w:rsidRPr="001C0FEA">
        <w:rPr>
          <w:rFonts w:eastAsia="Calibri" w:cs="David"/>
        </w:rPr>
        <w:t>SLDC</w:t>
      </w:r>
      <w:proofErr w:type="spellEnd"/>
      <w:r w:rsidRPr="001C0FEA">
        <w:rPr>
          <w:rFonts w:eastAsia="Calibri" w:cs="David"/>
        </w:rPr>
        <w:t xml:space="preserve"> function on 30.11.2016</w:t>
      </w:r>
      <w:r>
        <w:rPr>
          <w:rFonts w:eastAsia="Calibri" w:cs="David"/>
        </w:rPr>
        <w:t xml:space="preserve"> </w:t>
      </w:r>
      <w:r w:rsidRPr="000D5194">
        <w:rPr>
          <w:rFonts w:eastAsia="Calibri" w:cs="David"/>
        </w:rPr>
        <w:t xml:space="preserve">and the Hon’ble Commission </w:t>
      </w:r>
      <w:r>
        <w:rPr>
          <w:rFonts w:eastAsia="Calibri" w:cs="David"/>
        </w:rPr>
        <w:t xml:space="preserve">had </w:t>
      </w:r>
      <w:r w:rsidRPr="000D5194">
        <w:rPr>
          <w:rFonts w:eastAsia="Calibri" w:cs="David"/>
        </w:rPr>
        <w:t>issued</w:t>
      </w:r>
      <w:r w:rsidR="00DF29AB">
        <w:rPr>
          <w:rFonts w:eastAsia="Calibri" w:cs="David"/>
        </w:rPr>
        <w:t xml:space="preserve"> Order on the same on March 9, 2017.</w:t>
      </w:r>
    </w:p>
    <w:p w14:paraId="450FF513" w14:textId="77777777" w:rsidR="001C0FEA" w:rsidRDefault="001C0FEA" w:rsidP="001C0FEA">
      <w:pPr>
        <w:pStyle w:val="ListParagraph"/>
        <w:rPr>
          <w:rFonts w:eastAsia="Times New Roman" w:cs="David"/>
          <w:szCs w:val="24"/>
          <w:lang w:val="en-US"/>
        </w:rPr>
      </w:pPr>
    </w:p>
    <w:p w14:paraId="1039BFF5" w14:textId="77777777" w:rsidR="000D5194" w:rsidRPr="000D5194" w:rsidRDefault="000D5194" w:rsidP="00C652D0">
      <w:pPr>
        <w:widowControl w:val="0"/>
        <w:numPr>
          <w:ilvl w:val="0"/>
          <w:numId w:val="6"/>
        </w:numPr>
        <w:tabs>
          <w:tab w:val="left" w:pos="501"/>
        </w:tabs>
        <w:spacing w:line="276" w:lineRule="auto"/>
        <w:ind w:right="137"/>
        <w:rPr>
          <w:rFonts w:eastAsia="Times New Roman" w:cs="David"/>
          <w:szCs w:val="24"/>
          <w:lang w:val="en-US"/>
        </w:rPr>
      </w:pPr>
      <w:r w:rsidRPr="000D5194">
        <w:rPr>
          <w:rFonts w:eastAsia="Times New Roman" w:cs="David"/>
          <w:szCs w:val="24"/>
          <w:lang w:val="en-US"/>
        </w:rPr>
        <w:t xml:space="preserve">This </w:t>
      </w:r>
      <w:r w:rsidRPr="000D5194">
        <w:rPr>
          <w:rFonts w:eastAsia="Times New Roman" w:cs="David"/>
          <w:spacing w:val="-1"/>
          <w:szCs w:val="24"/>
          <w:lang w:val="en-US"/>
        </w:rPr>
        <w:t xml:space="preserve">petition </w:t>
      </w:r>
      <w:r w:rsidRPr="000D5194">
        <w:rPr>
          <w:rFonts w:eastAsia="Times New Roman" w:cs="David"/>
          <w:szCs w:val="24"/>
          <w:lang w:val="en-US"/>
        </w:rPr>
        <w:t xml:space="preserve">has </w:t>
      </w:r>
      <w:r w:rsidRPr="000D5194">
        <w:rPr>
          <w:rFonts w:eastAsia="Times New Roman" w:cs="David"/>
          <w:spacing w:val="-1"/>
          <w:szCs w:val="24"/>
          <w:lang w:val="en-US"/>
        </w:rPr>
        <w:t xml:space="preserve">been prepared </w:t>
      </w:r>
      <w:r w:rsidRPr="000D5194">
        <w:rPr>
          <w:rFonts w:eastAsia="Times New Roman" w:cs="David"/>
          <w:szCs w:val="24"/>
          <w:lang w:val="en-US"/>
        </w:rPr>
        <w:t xml:space="preserve">in </w:t>
      </w:r>
      <w:r w:rsidRPr="000D5194">
        <w:rPr>
          <w:rFonts w:eastAsia="Times New Roman" w:cs="David"/>
          <w:spacing w:val="-1"/>
          <w:szCs w:val="24"/>
          <w:lang w:val="en-US"/>
        </w:rPr>
        <w:t>accordance with the</w:t>
      </w:r>
      <w:r w:rsidRPr="000D5194">
        <w:rPr>
          <w:rFonts w:eastAsia="Times New Roman" w:cs="David"/>
          <w:szCs w:val="24"/>
          <w:lang w:val="en-US"/>
        </w:rPr>
        <w:t xml:space="preserve"> </w:t>
      </w:r>
      <w:r w:rsidRPr="000D5194">
        <w:rPr>
          <w:rFonts w:eastAsia="Times New Roman" w:cs="David"/>
          <w:spacing w:val="-1"/>
          <w:szCs w:val="24"/>
          <w:lang w:val="en-US"/>
        </w:rPr>
        <w:t xml:space="preserve">provisions </w:t>
      </w:r>
      <w:r w:rsidRPr="000D5194">
        <w:rPr>
          <w:rFonts w:eastAsia="Times New Roman" w:cs="David"/>
          <w:szCs w:val="24"/>
          <w:lang w:val="en-US"/>
        </w:rPr>
        <w:t xml:space="preserve">of </w:t>
      </w:r>
      <w:r w:rsidRPr="000D5194">
        <w:rPr>
          <w:rFonts w:eastAsia="Times New Roman" w:cs="David"/>
          <w:spacing w:val="-1"/>
          <w:szCs w:val="24"/>
          <w:lang w:val="en-US"/>
        </w:rPr>
        <w:t xml:space="preserve">Multi-Year Tariff of </w:t>
      </w:r>
      <w:r w:rsidRPr="000D5194">
        <w:rPr>
          <w:rFonts w:eastAsia="Times New Roman" w:cs="David"/>
          <w:szCs w:val="24"/>
          <w:lang w:val="en-US"/>
        </w:rPr>
        <w:t xml:space="preserve">the </w:t>
      </w:r>
      <w:proofErr w:type="spellStart"/>
      <w:r w:rsidRPr="000D5194">
        <w:rPr>
          <w:rFonts w:eastAsia="Times New Roman" w:cs="David"/>
          <w:spacing w:val="-1"/>
          <w:szCs w:val="24"/>
          <w:lang w:val="en-US"/>
        </w:rPr>
        <w:t>BERC</w:t>
      </w:r>
      <w:proofErr w:type="spellEnd"/>
      <w:r w:rsidRPr="000D5194">
        <w:rPr>
          <w:rFonts w:eastAsia="Times New Roman" w:cs="David"/>
          <w:spacing w:val="-1"/>
          <w:szCs w:val="24"/>
          <w:lang w:val="en-US"/>
        </w:rPr>
        <w:t xml:space="preserve"> (Terms </w:t>
      </w:r>
      <w:r w:rsidRPr="000D5194">
        <w:rPr>
          <w:rFonts w:eastAsia="Times New Roman" w:cs="David"/>
          <w:szCs w:val="24"/>
          <w:lang w:val="en-US"/>
        </w:rPr>
        <w:t xml:space="preserve">and </w:t>
      </w:r>
      <w:r w:rsidRPr="000D5194">
        <w:rPr>
          <w:rFonts w:eastAsia="Times New Roman" w:cs="David"/>
          <w:spacing w:val="-1"/>
          <w:szCs w:val="24"/>
          <w:lang w:val="en-US"/>
        </w:rPr>
        <w:t xml:space="preserve">Conditions </w:t>
      </w:r>
      <w:r w:rsidRPr="000D5194">
        <w:rPr>
          <w:rFonts w:eastAsia="Times New Roman" w:cs="David"/>
          <w:szCs w:val="24"/>
          <w:lang w:val="en-US"/>
        </w:rPr>
        <w:t xml:space="preserve">for </w:t>
      </w:r>
      <w:r w:rsidRPr="000D5194">
        <w:rPr>
          <w:rFonts w:eastAsia="Times New Roman" w:cs="David"/>
          <w:spacing w:val="-1"/>
          <w:szCs w:val="24"/>
          <w:lang w:val="en-US"/>
        </w:rPr>
        <w:t xml:space="preserve">Determination </w:t>
      </w:r>
      <w:r w:rsidRPr="000D5194">
        <w:rPr>
          <w:rFonts w:eastAsia="Times New Roman" w:cs="David"/>
          <w:szCs w:val="24"/>
          <w:lang w:val="en-US"/>
        </w:rPr>
        <w:t xml:space="preserve">of </w:t>
      </w:r>
      <w:r w:rsidRPr="000D5194">
        <w:rPr>
          <w:rFonts w:eastAsia="Times New Roman" w:cs="David"/>
          <w:spacing w:val="-1"/>
          <w:szCs w:val="24"/>
          <w:lang w:val="en-US"/>
        </w:rPr>
        <w:t xml:space="preserve">Tariff) Regulations, </w:t>
      </w:r>
      <w:r w:rsidRPr="000D5194">
        <w:rPr>
          <w:rFonts w:eastAsia="Times New Roman" w:cs="David"/>
          <w:szCs w:val="24"/>
          <w:lang w:val="en-US"/>
        </w:rPr>
        <w:t xml:space="preserve">2007 as amended </w:t>
      </w:r>
      <w:r w:rsidR="00DF29AB">
        <w:rPr>
          <w:rFonts w:eastAsia="Times New Roman" w:cs="David"/>
          <w:szCs w:val="24"/>
          <w:lang w:val="en-US"/>
        </w:rPr>
        <w:t xml:space="preserve">from </w:t>
      </w:r>
      <w:r w:rsidRPr="000D5194">
        <w:rPr>
          <w:rFonts w:eastAsia="Times New Roman" w:cs="David"/>
          <w:szCs w:val="24"/>
          <w:lang w:val="en-US"/>
        </w:rPr>
        <w:t>time to time by the Hon’ble Commission.</w:t>
      </w:r>
    </w:p>
    <w:p w14:paraId="1285DC9E" w14:textId="77777777" w:rsidR="000D5194" w:rsidRPr="000D5194" w:rsidRDefault="000D5194" w:rsidP="000D5194">
      <w:pPr>
        <w:widowControl w:val="0"/>
        <w:tabs>
          <w:tab w:val="left" w:pos="501"/>
        </w:tabs>
        <w:spacing w:line="276" w:lineRule="auto"/>
        <w:ind w:right="137"/>
        <w:rPr>
          <w:rFonts w:eastAsia="Times New Roman" w:cs="Arial"/>
          <w:szCs w:val="24"/>
          <w:lang w:val="en-US"/>
        </w:rPr>
      </w:pPr>
    </w:p>
    <w:p w14:paraId="346D5F3C" w14:textId="77777777" w:rsidR="000D5194" w:rsidRPr="000D5194" w:rsidRDefault="001E3A85" w:rsidP="00C652D0">
      <w:pPr>
        <w:widowControl w:val="0"/>
        <w:numPr>
          <w:ilvl w:val="0"/>
          <w:numId w:val="6"/>
        </w:numPr>
        <w:tabs>
          <w:tab w:val="left" w:pos="501"/>
        </w:tabs>
        <w:spacing w:line="276" w:lineRule="auto"/>
        <w:ind w:right="137"/>
        <w:rPr>
          <w:rFonts w:eastAsia="Calibri" w:cs="David"/>
        </w:rPr>
      </w:pPr>
      <w:proofErr w:type="spellStart"/>
      <w:r>
        <w:rPr>
          <w:rFonts w:cs="David"/>
        </w:rPr>
        <w:t>SLDC</w:t>
      </w:r>
      <w:proofErr w:type="spellEnd"/>
      <w:r w:rsidR="000D5194" w:rsidRPr="000D5194">
        <w:rPr>
          <w:rFonts w:cs="David"/>
        </w:rPr>
        <w:t xml:space="preserve"> along with this petition is submitting the data &amp; information to the extent </w:t>
      </w:r>
      <w:r w:rsidR="000D4CF4">
        <w:rPr>
          <w:rFonts w:cs="David"/>
        </w:rPr>
        <w:t>available</w:t>
      </w:r>
      <w:r w:rsidR="000D5194" w:rsidRPr="000D5194">
        <w:rPr>
          <w:rFonts w:cs="David"/>
        </w:rPr>
        <w:t xml:space="preserve"> and would make available any further information/additional data required by the Hon’ble Commission during the course of proceedings.</w:t>
      </w:r>
    </w:p>
    <w:p w14:paraId="62EB3F5C" w14:textId="77777777" w:rsidR="000D5194" w:rsidRDefault="000D5194">
      <w:pPr>
        <w:spacing w:after="200" w:line="276" w:lineRule="auto"/>
        <w:jc w:val="left"/>
      </w:pPr>
      <w:r>
        <w:br w:type="page"/>
      </w:r>
    </w:p>
    <w:sdt>
      <w:sdtPr>
        <w:id w:val="-1853329781"/>
        <w:docPartObj>
          <w:docPartGallery w:val="Table of Contents"/>
          <w:docPartUnique/>
        </w:docPartObj>
      </w:sdtPr>
      <w:sdtEndPr>
        <w:rPr>
          <w:b/>
          <w:bCs/>
          <w:noProof/>
        </w:rPr>
      </w:sdtEndPr>
      <w:sdtContent>
        <w:p w14:paraId="4C37FDCF" w14:textId="77777777" w:rsidR="0027074E" w:rsidRDefault="0027074E" w:rsidP="00EF05CA">
          <w:pPr>
            <w:jc w:val="center"/>
          </w:pPr>
        </w:p>
        <w:p w14:paraId="70078015" w14:textId="77777777" w:rsidR="0027074E" w:rsidRDefault="0027074E" w:rsidP="00EF05CA">
          <w:pPr>
            <w:jc w:val="center"/>
          </w:pPr>
        </w:p>
        <w:p w14:paraId="75EA9FF5" w14:textId="1B10D6A7" w:rsidR="00EF05CA" w:rsidRPr="00EF05CA" w:rsidRDefault="00EF05CA" w:rsidP="00EF05CA">
          <w:pPr>
            <w:jc w:val="center"/>
            <w:rPr>
              <w:b/>
              <w:color w:val="548DD4" w:themeColor="text2" w:themeTint="99"/>
              <w:sz w:val="28"/>
            </w:rPr>
          </w:pPr>
          <w:r w:rsidRPr="00EF05CA">
            <w:rPr>
              <w:b/>
              <w:color w:val="548DD4" w:themeColor="text2" w:themeTint="99"/>
              <w:sz w:val="28"/>
            </w:rPr>
            <w:t>Table of Contents</w:t>
          </w:r>
        </w:p>
        <w:p w14:paraId="081EDD50" w14:textId="77777777" w:rsidR="006C3CA0" w:rsidRDefault="00EF05CA">
          <w:pPr>
            <w:pStyle w:val="TOC1"/>
            <w:tabs>
              <w:tab w:val="left" w:pos="480"/>
              <w:tab w:val="right" w:leader="dot" w:pos="9016"/>
            </w:tabs>
            <w:rPr>
              <w:rFonts w:asciiTheme="minorHAnsi" w:eastAsiaTheme="minorEastAsia" w:hAnsiTheme="minorHAnsi"/>
              <w:noProof/>
              <w:sz w:val="22"/>
              <w:szCs w:val="20"/>
              <w:lang w:eastAsia="en-IN" w:bidi="hi-IN"/>
            </w:rPr>
          </w:pPr>
          <w:r>
            <w:fldChar w:fldCharType="begin"/>
          </w:r>
          <w:r>
            <w:instrText xml:space="preserve"> TOC \o "1-3" \h \z \u </w:instrText>
          </w:r>
          <w:r>
            <w:fldChar w:fldCharType="separate"/>
          </w:r>
          <w:hyperlink w:anchor="_Toc498423453" w:history="1">
            <w:r w:rsidR="006C3CA0" w:rsidRPr="00692B4D">
              <w:rPr>
                <w:rStyle w:val="Hyperlink"/>
                <w:noProof/>
              </w:rPr>
              <w:t>1</w:t>
            </w:r>
            <w:r w:rsidR="006C3CA0">
              <w:rPr>
                <w:rFonts w:asciiTheme="minorHAnsi" w:eastAsiaTheme="minorEastAsia" w:hAnsiTheme="minorHAnsi"/>
                <w:noProof/>
                <w:sz w:val="22"/>
                <w:szCs w:val="20"/>
                <w:lang w:eastAsia="en-IN" w:bidi="hi-IN"/>
              </w:rPr>
              <w:tab/>
            </w:r>
            <w:r w:rsidR="006C3CA0" w:rsidRPr="00692B4D">
              <w:rPr>
                <w:rStyle w:val="Hyperlink"/>
                <w:noProof/>
              </w:rPr>
              <w:t>Introduction</w:t>
            </w:r>
            <w:r w:rsidR="006C3CA0">
              <w:rPr>
                <w:noProof/>
                <w:webHidden/>
              </w:rPr>
              <w:tab/>
            </w:r>
            <w:r w:rsidR="006C3CA0">
              <w:rPr>
                <w:noProof/>
                <w:webHidden/>
              </w:rPr>
              <w:fldChar w:fldCharType="begin"/>
            </w:r>
            <w:r w:rsidR="006C3CA0">
              <w:rPr>
                <w:noProof/>
                <w:webHidden/>
              </w:rPr>
              <w:instrText xml:space="preserve"> PAGEREF _Toc498423453 \h </w:instrText>
            </w:r>
            <w:r w:rsidR="006C3CA0">
              <w:rPr>
                <w:noProof/>
                <w:webHidden/>
              </w:rPr>
            </w:r>
            <w:r w:rsidR="006C3CA0">
              <w:rPr>
                <w:noProof/>
                <w:webHidden/>
              </w:rPr>
              <w:fldChar w:fldCharType="separate"/>
            </w:r>
            <w:r w:rsidR="0045624D">
              <w:rPr>
                <w:noProof/>
                <w:webHidden/>
              </w:rPr>
              <w:t>6</w:t>
            </w:r>
            <w:r w:rsidR="006C3CA0">
              <w:rPr>
                <w:noProof/>
                <w:webHidden/>
              </w:rPr>
              <w:fldChar w:fldCharType="end"/>
            </w:r>
          </w:hyperlink>
        </w:p>
        <w:p w14:paraId="231D006F" w14:textId="77777777" w:rsidR="006C3CA0" w:rsidRDefault="00600441">
          <w:pPr>
            <w:pStyle w:val="TOC1"/>
            <w:tabs>
              <w:tab w:val="left" w:pos="480"/>
              <w:tab w:val="right" w:leader="dot" w:pos="9016"/>
            </w:tabs>
            <w:rPr>
              <w:rFonts w:asciiTheme="minorHAnsi" w:eastAsiaTheme="minorEastAsia" w:hAnsiTheme="minorHAnsi"/>
              <w:noProof/>
              <w:sz w:val="22"/>
              <w:szCs w:val="20"/>
              <w:lang w:eastAsia="en-IN" w:bidi="hi-IN"/>
            </w:rPr>
          </w:pPr>
          <w:hyperlink w:anchor="_Toc498423454" w:history="1">
            <w:r w:rsidR="006C3CA0" w:rsidRPr="00692B4D">
              <w:rPr>
                <w:rStyle w:val="Hyperlink"/>
                <w:noProof/>
              </w:rPr>
              <w:t>2</w:t>
            </w:r>
            <w:r w:rsidR="006C3CA0">
              <w:rPr>
                <w:rFonts w:asciiTheme="minorHAnsi" w:eastAsiaTheme="minorEastAsia" w:hAnsiTheme="minorHAnsi"/>
                <w:noProof/>
                <w:sz w:val="22"/>
                <w:szCs w:val="20"/>
                <w:lang w:eastAsia="en-IN" w:bidi="hi-IN"/>
              </w:rPr>
              <w:tab/>
            </w:r>
            <w:r w:rsidR="006C3CA0" w:rsidRPr="00692B4D">
              <w:rPr>
                <w:rStyle w:val="Hyperlink"/>
                <w:noProof/>
              </w:rPr>
              <w:t>Annual Performance Review (APR) for FY 2017-18 and Determination of ARR &amp; SLDC Operating charges for FY 2018-19</w:t>
            </w:r>
            <w:r w:rsidR="006C3CA0">
              <w:rPr>
                <w:noProof/>
                <w:webHidden/>
              </w:rPr>
              <w:tab/>
            </w:r>
            <w:r w:rsidR="006C3CA0">
              <w:rPr>
                <w:noProof/>
                <w:webHidden/>
              </w:rPr>
              <w:fldChar w:fldCharType="begin"/>
            </w:r>
            <w:r w:rsidR="006C3CA0">
              <w:rPr>
                <w:noProof/>
                <w:webHidden/>
              </w:rPr>
              <w:instrText xml:space="preserve"> PAGEREF _Toc498423454 \h </w:instrText>
            </w:r>
            <w:r w:rsidR="006C3CA0">
              <w:rPr>
                <w:noProof/>
                <w:webHidden/>
              </w:rPr>
            </w:r>
            <w:r w:rsidR="006C3CA0">
              <w:rPr>
                <w:noProof/>
                <w:webHidden/>
              </w:rPr>
              <w:fldChar w:fldCharType="separate"/>
            </w:r>
            <w:r w:rsidR="0045624D">
              <w:rPr>
                <w:noProof/>
                <w:webHidden/>
              </w:rPr>
              <w:t>7</w:t>
            </w:r>
            <w:r w:rsidR="006C3CA0">
              <w:rPr>
                <w:noProof/>
                <w:webHidden/>
              </w:rPr>
              <w:fldChar w:fldCharType="end"/>
            </w:r>
          </w:hyperlink>
        </w:p>
        <w:p w14:paraId="2AA668E9"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55" w:history="1">
            <w:r w:rsidR="006C3CA0" w:rsidRPr="00692B4D">
              <w:rPr>
                <w:rStyle w:val="Hyperlink"/>
                <w:noProof/>
              </w:rPr>
              <w:t>2.1</w:t>
            </w:r>
            <w:r w:rsidR="006C3CA0">
              <w:rPr>
                <w:rFonts w:asciiTheme="minorHAnsi" w:eastAsiaTheme="minorEastAsia" w:hAnsiTheme="minorHAnsi"/>
                <w:noProof/>
                <w:sz w:val="22"/>
                <w:szCs w:val="20"/>
                <w:lang w:eastAsia="en-IN" w:bidi="hi-IN"/>
              </w:rPr>
              <w:tab/>
            </w:r>
            <w:r w:rsidR="006C3CA0" w:rsidRPr="00692B4D">
              <w:rPr>
                <w:rStyle w:val="Hyperlink"/>
                <w:noProof/>
              </w:rPr>
              <w:t>Constitution of State Load Despatch Centre</w:t>
            </w:r>
            <w:r w:rsidR="006C3CA0">
              <w:rPr>
                <w:noProof/>
                <w:webHidden/>
              </w:rPr>
              <w:tab/>
            </w:r>
            <w:r w:rsidR="006C3CA0">
              <w:rPr>
                <w:noProof/>
                <w:webHidden/>
              </w:rPr>
              <w:fldChar w:fldCharType="begin"/>
            </w:r>
            <w:r w:rsidR="006C3CA0">
              <w:rPr>
                <w:noProof/>
                <w:webHidden/>
              </w:rPr>
              <w:instrText xml:space="preserve"> PAGEREF _Toc498423455 \h </w:instrText>
            </w:r>
            <w:r w:rsidR="006C3CA0">
              <w:rPr>
                <w:noProof/>
                <w:webHidden/>
              </w:rPr>
            </w:r>
            <w:r w:rsidR="006C3CA0">
              <w:rPr>
                <w:noProof/>
                <w:webHidden/>
              </w:rPr>
              <w:fldChar w:fldCharType="separate"/>
            </w:r>
            <w:r w:rsidR="0045624D">
              <w:rPr>
                <w:noProof/>
                <w:webHidden/>
              </w:rPr>
              <w:t>7</w:t>
            </w:r>
            <w:r w:rsidR="006C3CA0">
              <w:rPr>
                <w:noProof/>
                <w:webHidden/>
              </w:rPr>
              <w:fldChar w:fldCharType="end"/>
            </w:r>
          </w:hyperlink>
        </w:p>
        <w:p w14:paraId="4D136A2A"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56" w:history="1">
            <w:r w:rsidR="006C3CA0" w:rsidRPr="00692B4D">
              <w:rPr>
                <w:rStyle w:val="Hyperlink"/>
                <w:noProof/>
              </w:rPr>
              <w:t>2.2</w:t>
            </w:r>
            <w:r w:rsidR="006C3CA0">
              <w:rPr>
                <w:rFonts w:asciiTheme="minorHAnsi" w:eastAsiaTheme="minorEastAsia" w:hAnsiTheme="minorHAnsi"/>
                <w:noProof/>
                <w:sz w:val="22"/>
                <w:szCs w:val="20"/>
                <w:lang w:eastAsia="en-IN" w:bidi="hi-IN"/>
              </w:rPr>
              <w:tab/>
            </w:r>
            <w:r w:rsidR="006C3CA0" w:rsidRPr="00692B4D">
              <w:rPr>
                <w:rStyle w:val="Hyperlink"/>
                <w:noProof/>
              </w:rPr>
              <w:t>Functions of State Load Despatch Centre</w:t>
            </w:r>
            <w:r w:rsidR="006C3CA0">
              <w:rPr>
                <w:noProof/>
                <w:webHidden/>
              </w:rPr>
              <w:tab/>
            </w:r>
            <w:r w:rsidR="006C3CA0">
              <w:rPr>
                <w:noProof/>
                <w:webHidden/>
              </w:rPr>
              <w:fldChar w:fldCharType="begin"/>
            </w:r>
            <w:r w:rsidR="006C3CA0">
              <w:rPr>
                <w:noProof/>
                <w:webHidden/>
              </w:rPr>
              <w:instrText xml:space="preserve"> PAGEREF _Toc498423456 \h </w:instrText>
            </w:r>
            <w:r w:rsidR="006C3CA0">
              <w:rPr>
                <w:noProof/>
                <w:webHidden/>
              </w:rPr>
            </w:r>
            <w:r w:rsidR="006C3CA0">
              <w:rPr>
                <w:noProof/>
                <w:webHidden/>
              </w:rPr>
              <w:fldChar w:fldCharType="separate"/>
            </w:r>
            <w:r w:rsidR="0045624D">
              <w:rPr>
                <w:noProof/>
                <w:webHidden/>
              </w:rPr>
              <w:t>7</w:t>
            </w:r>
            <w:r w:rsidR="006C3CA0">
              <w:rPr>
                <w:noProof/>
                <w:webHidden/>
              </w:rPr>
              <w:fldChar w:fldCharType="end"/>
            </w:r>
          </w:hyperlink>
        </w:p>
        <w:p w14:paraId="7CDCBDF2"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57" w:history="1">
            <w:r w:rsidR="006C3CA0" w:rsidRPr="00692B4D">
              <w:rPr>
                <w:rStyle w:val="Hyperlink"/>
                <w:noProof/>
              </w:rPr>
              <w:t>2.3</w:t>
            </w:r>
            <w:r w:rsidR="006C3CA0">
              <w:rPr>
                <w:rFonts w:asciiTheme="minorHAnsi" w:eastAsiaTheme="minorEastAsia" w:hAnsiTheme="minorHAnsi"/>
                <w:noProof/>
                <w:sz w:val="22"/>
                <w:szCs w:val="20"/>
                <w:lang w:eastAsia="en-IN" w:bidi="hi-IN"/>
              </w:rPr>
              <w:tab/>
            </w:r>
            <w:r w:rsidR="006C3CA0" w:rsidRPr="00692B4D">
              <w:rPr>
                <w:rStyle w:val="Hyperlink"/>
                <w:noProof/>
              </w:rPr>
              <w:t>SLDC Charges</w:t>
            </w:r>
            <w:r w:rsidR="006C3CA0">
              <w:rPr>
                <w:noProof/>
                <w:webHidden/>
              </w:rPr>
              <w:tab/>
            </w:r>
            <w:r w:rsidR="006C3CA0">
              <w:rPr>
                <w:noProof/>
                <w:webHidden/>
              </w:rPr>
              <w:fldChar w:fldCharType="begin"/>
            </w:r>
            <w:r w:rsidR="006C3CA0">
              <w:rPr>
                <w:noProof/>
                <w:webHidden/>
              </w:rPr>
              <w:instrText xml:space="preserve"> PAGEREF _Toc498423457 \h </w:instrText>
            </w:r>
            <w:r w:rsidR="006C3CA0">
              <w:rPr>
                <w:noProof/>
                <w:webHidden/>
              </w:rPr>
            </w:r>
            <w:r w:rsidR="006C3CA0">
              <w:rPr>
                <w:noProof/>
                <w:webHidden/>
              </w:rPr>
              <w:fldChar w:fldCharType="separate"/>
            </w:r>
            <w:r w:rsidR="0045624D">
              <w:rPr>
                <w:noProof/>
                <w:webHidden/>
              </w:rPr>
              <w:t>8</w:t>
            </w:r>
            <w:r w:rsidR="006C3CA0">
              <w:rPr>
                <w:noProof/>
                <w:webHidden/>
              </w:rPr>
              <w:fldChar w:fldCharType="end"/>
            </w:r>
          </w:hyperlink>
        </w:p>
        <w:p w14:paraId="3B6FF44F"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58" w:history="1">
            <w:r w:rsidR="006C3CA0" w:rsidRPr="00692B4D">
              <w:rPr>
                <w:rStyle w:val="Hyperlink"/>
                <w:noProof/>
              </w:rPr>
              <w:t>2.4</w:t>
            </w:r>
            <w:r w:rsidR="006C3CA0">
              <w:rPr>
                <w:rFonts w:asciiTheme="minorHAnsi" w:eastAsiaTheme="minorEastAsia" w:hAnsiTheme="minorHAnsi"/>
                <w:noProof/>
                <w:sz w:val="22"/>
                <w:szCs w:val="20"/>
                <w:lang w:eastAsia="en-IN" w:bidi="hi-IN"/>
              </w:rPr>
              <w:tab/>
            </w:r>
            <w:r w:rsidR="006C3CA0" w:rsidRPr="00692B4D">
              <w:rPr>
                <w:rStyle w:val="Hyperlink"/>
                <w:noProof/>
              </w:rPr>
              <w:t>Operation &amp; Maintenance Expenses</w:t>
            </w:r>
            <w:r w:rsidR="006C3CA0">
              <w:rPr>
                <w:noProof/>
                <w:webHidden/>
              </w:rPr>
              <w:tab/>
            </w:r>
            <w:r w:rsidR="006C3CA0">
              <w:rPr>
                <w:noProof/>
                <w:webHidden/>
              </w:rPr>
              <w:fldChar w:fldCharType="begin"/>
            </w:r>
            <w:r w:rsidR="006C3CA0">
              <w:rPr>
                <w:noProof/>
                <w:webHidden/>
              </w:rPr>
              <w:instrText xml:space="preserve"> PAGEREF _Toc498423458 \h </w:instrText>
            </w:r>
            <w:r w:rsidR="006C3CA0">
              <w:rPr>
                <w:noProof/>
                <w:webHidden/>
              </w:rPr>
            </w:r>
            <w:r w:rsidR="006C3CA0">
              <w:rPr>
                <w:noProof/>
                <w:webHidden/>
              </w:rPr>
              <w:fldChar w:fldCharType="separate"/>
            </w:r>
            <w:r w:rsidR="0045624D">
              <w:rPr>
                <w:noProof/>
                <w:webHidden/>
              </w:rPr>
              <w:t>8</w:t>
            </w:r>
            <w:r w:rsidR="006C3CA0">
              <w:rPr>
                <w:noProof/>
                <w:webHidden/>
              </w:rPr>
              <w:fldChar w:fldCharType="end"/>
            </w:r>
          </w:hyperlink>
        </w:p>
        <w:p w14:paraId="50FC5D3B" w14:textId="77777777" w:rsidR="006C3CA0" w:rsidRDefault="00600441">
          <w:pPr>
            <w:pStyle w:val="TOC3"/>
            <w:tabs>
              <w:tab w:val="left" w:pos="1320"/>
              <w:tab w:val="right" w:leader="dot" w:pos="9016"/>
            </w:tabs>
            <w:rPr>
              <w:rFonts w:asciiTheme="minorHAnsi" w:eastAsiaTheme="minorEastAsia" w:hAnsiTheme="minorHAnsi"/>
              <w:noProof/>
              <w:sz w:val="22"/>
              <w:szCs w:val="20"/>
              <w:lang w:eastAsia="en-IN" w:bidi="hi-IN"/>
            </w:rPr>
          </w:pPr>
          <w:hyperlink w:anchor="_Toc498423459" w:history="1">
            <w:r w:rsidR="006C3CA0" w:rsidRPr="00692B4D">
              <w:rPr>
                <w:rStyle w:val="Hyperlink"/>
                <w:noProof/>
              </w:rPr>
              <w:t>2.4.1</w:t>
            </w:r>
            <w:r w:rsidR="006C3CA0">
              <w:rPr>
                <w:rFonts w:asciiTheme="minorHAnsi" w:eastAsiaTheme="minorEastAsia" w:hAnsiTheme="minorHAnsi"/>
                <w:noProof/>
                <w:sz w:val="22"/>
                <w:szCs w:val="20"/>
                <w:lang w:eastAsia="en-IN" w:bidi="hi-IN"/>
              </w:rPr>
              <w:tab/>
            </w:r>
            <w:r w:rsidR="006C3CA0" w:rsidRPr="00692B4D">
              <w:rPr>
                <w:rStyle w:val="Hyperlink"/>
                <w:noProof/>
              </w:rPr>
              <w:t>Employee Expenses</w:t>
            </w:r>
            <w:r w:rsidR="006C3CA0">
              <w:rPr>
                <w:noProof/>
                <w:webHidden/>
              </w:rPr>
              <w:tab/>
            </w:r>
            <w:r w:rsidR="006C3CA0">
              <w:rPr>
                <w:noProof/>
                <w:webHidden/>
              </w:rPr>
              <w:fldChar w:fldCharType="begin"/>
            </w:r>
            <w:r w:rsidR="006C3CA0">
              <w:rPr>
                <w:noProof/>
                <w:webHidden/>
              </w:rPr>
              <w:instrText xml:space="preserve"> PAGEREF _Toc498423459 \h </w:instrText>
            </w:r>
            <w:r w:rsidR="006C3CA0">
              <w:rPr>
                <w:noProof/>
                <w:webHidden/>
              </w:rPr>
            </w:r>
            <w:r w:rsidR="006C3CA0">
              <w:rPr>
                <w:noProof/>
                <w:webHidden/>
              </w:rPr>
              <w:fldChar w:fldCharType="separate"/>
            </w:r>
            <w:r w:rsidR="0045624D">
              <w:rPr>
                <w:noProof/>
                <w:webHidden/>
              </w:rPr>
              <w:t>9</w:t>
            </w:r>
            <w:r w:rsidR="006C3CA0">
              <w:rPr>
                <w:noProof/>
                <w:webHidden/>
              </w:rPr>
              <w:fldChar w:fldCharType="end"/>
            </w:r>
          </w:hyperlink>
        </w:p>
        <w:p w14:paraId="7C9174CD" w14:textId="77777777" w:rsidR="006C3CA0" w:rsidRDefault="00600441">
          <w:pPr>
            <w:pStyle w:val="TOC3"/>
            <w:tabs>
              <w:tab w:val="left" w:pos="1320"/>
              <w:tab w:val="right" w:leader="dot" w:pos="9016"/>
            </w:tabs>
            <w:rPr>
              <w:rFonts w:asciiTheme="minorHAnsi" w:eastAsiaTheme="minorEastAsia" w:hAnsiTheme="minorHAnsi"/>
              <w:noProof/>
              <w:sz w:val="22"/>
              <w:szCs w:val="20"/>
              <w:lang w:eastAsia="en-IN" w:bidi="hi-IN"/>
            </w:rPr>
          </w:pPr>
          <w:hyperlink w:anchor="_Toc498423460" w:history="1">
            <w:r w:rsidR="006C3CA0" w:rsidRPr="00692B4D">
              <w:rPr>
                <w:rStyle w:val="Hyperlink"/>
                <w:noProof/>
              </w:rPr>
              <w:t>2.4.2</w:t>
            </w:r>
            <w:r w:rsidR="006C3CA0">
              <w:rPr>
                <w:rFonts w:asciiTheme="minorHAnsi" w:eastAsiaTheme="minorEastAsia" w:hAnsiTheme="minorHAnsi"/>
                <w:noProof/>
                <w:sz w:val="22"/>
                <w:szCs w:val="20"/>
                <w:lang w:eastAsia="en-IN" w:bidi="hi-IN"/>
              </w:rPr>
              <w:tab/>
            </w:r>
            <w:r w:rsidR="006C3CA0" w:rsidRPr="00692B4D">
              <w:rPr>
                <w:rStyle w:val="Hyperlink"/>
                <w:noProof/>
              </w:rPr>
              <w:t>Administration &amp; General Expenses</w:t>
            </w:r>
            <w:r w:rsidR="006C3CA0">
              <w:rPr>
                <w:noProof/>
                <w:webHidden/>
              </w:rPr>
              <w:tab/>
            </w:r>
            <w:r w:rsidR="006C3CA0">
              <w:rPr>
                <w:noProof/>
                <w:webHidden/>
              </w:rPr>
              <w:fldChar w:fldCharType="begin"/>
            </w:r>
            <w:r w:rsidR="006C3CA0">
              <w:rPr>
                <w:noProof/>
                <w:webHidden/>
              </w:rPr>
              <w:instrText xml:space="preserve"> PAGEREF _Toc498423460 \h </w:instrText>
            </w:r>
            <w:r w:rsidR="006C3CA0">
              <w:rPr>
                <w:noProof/>
                <w:webHidden/>
              </w:rPr>
            </w:r>
            <w:r w:rsidR="006C3CA0">
              <w:rPr>
                <w:noProof/>
                <w:webHidden/>
              </w:rPr>
              <w:fldChar w:fldCharType="separate"/>
            </w:r>
            <w:r w:rsidR="0045624D">
              <w:rPr>
                <w:noProof/>
                <w:webHidden/>
              </w:rPr>
              <w:t>11</w:t>
            </w:r>
            <w:r w:rsidR="006C3CA0">
              <w:rPr>
                <w:noProof/>
                <w:webHidden/>
              </w:rPr>
              <w:fldChar w:fldCharType="end"/>
            </w:r>
          </w:hyperlink>
        </w:p>
        <w:p w14:paraId="733ACA8A" w14:textId="77777777" w:rsidR="006C3CA0" w:rsidRDefault="00600441">
          <w:pPr>
            <w:pStyle w:val="TOC3"/>
            <w:tabs>
              <w:tab w:val="left" w:pos="1320"/>
              <w:tab w:val="right" w:leader="dot" w:pos="9016"/>
            </w:tabs>
            <w:rPr>
              <w:rFonts w:asciiTheme="minorHAnsi" w:eastAsiaTheme="minorEastAsia" w:hAnsiTheme="minorHAnsi"/>
              <w:noProof/>
              <w:sz w:val="22"/>
              <w:szCs w:val="20"/>
              <w:lang w:eastAsia="en-IN" w:bidi="hi-IN"/>
            </w:rPr>
          </w:pPr>
          <w:hyperlink w:anchor="_Toc498423461" w:history="1">
            <w:r w:rsidR="006C3CA0" w:rsidRPr="00692B4D">
              <w:rPr>
                <w:rStyle w:val="Hyperlink"/>
                <w:noProof/>
              </w:rPr>
              <w:t>2.4.3</w:t>
            </w:r>
            <w:r w:rsidR="006C3CA0">
              <w:rPr>
                <w:rFonts w:asciiTheme="minorHAnsi" w:eastAsiaTheme="minorEastAsia" w:hAnsiTheme="minorHAnsi"/>
                <w:noProof/>
                <w:sz w:val="22"/>
                <w:szCs w:val="20"/>
                <w:lang w:eastAsia="en-IN" w:bidi="hi-IN"/>
              </w:rPr>
              <w:tab/>
            </w:r>
            <w:r w:rsidR="006C3CA0" w:rsidRPr="00692B4D">
              <w:rPr>
                <w:rStyle w:val="Hyperlink"/>
                <w:noProof/>
              </w:rPr>
              <w:t>Repairs &amp; Maintenance Expenses</w:t>
            </w:r>
            <w:r w:rsidR="006C3CA0">
              <w:rPr>
                <w:noProof/>
                <w:webHidden/>
              </w:rPr>
              <w:tab/>
            </w:r>
            <w:r w:rsidR="006C3CA0">
              <w:rPr>
                <w:noProof/>
                <w:webHidden/>
              </w:rPr>
              <w:fldChar w:fldCharType="begin"/>
            </w:r>
            <w:r w:rsidR="006C3CA0">
              <w:rPr>
                <w:noProof/>
                <w:webHidden/>
              </w:rPr>
              <w:instrText xml:space="preserve"> PAGEREF _Toc498423461 \h </w:instrText>
            </w:r>
            <w:r w:rsidR="006C3CA0">
              <w:rPr>
                <w:noProof/>
                <w:webHidden/>
              </w:rPr>
            </w:r>
            <w:r w:rsidR="006C3CA0">
              <w:rPr>
                <w:noProof/>
                <w:webHidden/>
              </w:rPr>
              <w:fldChar w:fldCharType="separate"/>
            </w:r>
            <w:r w:rsidR="0045624D">
              <w:rPr>
                <w:noProof/>
                <w:webHidden/>
              </w:rPr>
              <w:t>13</w:t>
            </w:r>
            <w:r w:rsidR="006C3CA0">
              <w:rPr>
                <w:noProof/>
                <w:webHidden/>
              </w:rPr>
              <w:fldChar w:fldCharType="end"/>
            </w:r>
          </w:hyperlink>
        </w:p>
        <w:p w14:paraId="317909E4" w14:textId="77777777" w:rsidR="006C3CA0" w:rsidRDefault="00600441">
          <w:pPr>
            <w:pStyle w:val="TOC3"/>
            <w:tabs>
              <w:tab w:val="left" w:pos="1320"/>
              <w:tab w:val="right" w:leader="dot" w:pos="9016"/>
            </w:tabs>
            <w:rPr>
              <w:rFonts w:asciiTheme="minorHAnsi" w:eastAsiaTheme="minorEastAsia" w:hAnsiTheme="minorHAnsi"/>
              <w:noProof/>
              <w:sz w:val="22"/>
              <w:szCs w:val="20"/>
              <w:lang w:eastAsia="en-IN" w:bidi="hi-IN"/>
            </w:rPr>
          </w:pPr>
          <w:hyperlink w:anchor="_Toc498423462" w:history="1">
            <w:r w:rsidR="006C3CA0" w:rsidRPr="00692B4D">
              <w:rPr>
                <w:rStyle w:val="Hyperlink"/>
                <w:noProof/>
              </w:rPr>
              <w:t>2.4.4</w:t>
            </w:r>
            <w:r w:rsidR="006C3CA0">
              <w:rPr>
                <w:rFonts w:asciiTheme="minorHAnsi" w:eastAsiaTheme="minorEastAsia" w:hAnsiTheme="minorHAnsi"/>
                <w:noProof/>
                <w:sz w:val="22"/>
                <w:szCs w:val="20"/>
                <w:lang w:eastAsia="en-IN" w:bidi="hi-IN"/>
              </w:rPr>
              <w:tab/>
            </w:r>
            <w:r w:rsidR="006C3CA0" w:rsidRPr="00692B4D">
              <w:rPr>
                <w:rStyle w:val="Hyperlink"/>
                <w:noProof/>
              </w:rPr>
              <w:t>Summary of O&amp;M Expenses</w:t>
            </w:r>
            <w:r w:rsidR="006C3CA0">
              <w:rPr>
                <w:noProof/>
                <w:webHidden/>
              </w:rPr>
              <w:tab/>
            </w:r>
            <w:r w:rsidR="006C3CA0">
              <w:rPr>
                <w:noProof/>
                <w:webHidden/>
              </w:rPr>
              <w:fldChar w:fldCharType="begin"/>
            </w:r>
            <w:r w:rsidR="006C3CA0">
              <w:rPr>
                <w:noProof/>
                <w:webHidden/>
              </w:rPr>
              <w:instrText xml:space="preserve"> PAGEREF _Toc498423462 \h </w:instrText>
            </w:r>
            <w:r w:rsidR="006C3CA0">
              <w:rPr>
                <w:noProof/>
                <w:webHidden/>
              </w:rPr>
            </w:r>
            <w:r w:rsidR="006C3CA0">
              <w:rPr>
                <w:noProof/>
                <w:webHidden/>
              </w:rPr>
              <w:fldChar w:fldCharType="separate"/>
            </w:r>
            <w:r w:rsidR="0045624D">
              <w:rPr>
                <w:noProof/>
                <w:webHidden/>
              </w:rPr>
              <w:t>14</w:t>
            </w:r>
            <w:r w:rsidR="006C3CA0">
              <w:rPr>
                <w:noProof/>
                <w:webHidden/>
              </w:rPr>
              <w:fldChar w:fldCharType="end"/>
            </w:r>
          </w:hyperlink>
        </w:p>
        <w:p w14:paraId="0B7D501D"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63" w:history="1">
            <w:r w:rsidR="006C3CA0" w:rsidRPr="00692B4D">
              <w:rPr>
                <w:rStyle w:val="Hyperlink"/>
                <w:noProof/>
              </w:rPr>
              <w:t>2.5</w:t>
            </w:r>
            <w:r w:rsidR="006C3CA0">
              <w:rPr>
                <w:rFonts w:asciiTheme="minorHAnsi" w:eastAsiaTheme="minorEastAsia" w:hAnsiTheme="minorHAnsi"/>
                <w:noProof/>
                <w:sz w:val="22"/>
                <w:szCs w:val="20"/>
                <w:lang w:eastAsia="en-IN" w:bidi="hi-IN"/>
              </w:rPr>
              <w:tab/>
            </w:r>
            <w:r w:rsidR="006C3CA0" w:rsidRPr="00692B4D">
              <w:rPr>
                <w:rStyle w:val="Hyperlink"/>
                <w:noProof/>
              </w:rPr>
              <w:t>Interest on Working Capital</w:t>
            </w:r>
            <w:r w:rsidR="006C3CA0">
              <w:rPr>
                <w:noProof/>
                <w:webHidden/>
              </w:rPr>
              <w:tab/>
            </w:r>
            <w:r w:rsidR="006C3CA0">
              <w:rPr>
                <w:noProof/>
                <w:webHidden/>
              </w:rPr>
              <w:fldChar w:fldCharType="begin"/>
            </w:r>
            <w:r w:rsidR="006C3CA0">
              <w:rPr>
                <w:noProof/>
                <w:webHidden/>
              </w:rPr>
              <w:instrText xml:space="preserve"> PAGEREF _Toc498423463 \h </w:instrText>
            </w:r>
            <w:r w:rsidR="006C3CA0">
              <w:rPr>
                <w:noProof/>
                <w:webHidden/>
              </w:rPr>
            </w:r>
            <w:r w:rsidR="006C3CA0">
              <w:rPr>
                <w:noProof/>
                <w:webHidden/>
              </w:rPr>
              <w:fldChar w:fldCharType="separate"/>
            </w:r>
            <w:r w:rsidR="0045624D">
              <w:rPr>
                <w:noProof/>
                <w:webHidden/>
              </w:rPr>
              <w:t>14</w:t>
            </w:r>
            <w:r w:rsidR="006C3CA0">
              <w:rPr>
                <w:noProof/>
                <w:webHidden/>
              </w:rPr>
              <w:fldChar w:fldCharType="end"/>
            </w:r>
          </w:hyperlink>
        </w:p>
        <w:p w14:paraId="61772BAB"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64" w:history="1">
            <w:r w:rsidR="006C3CA0" w:rsidRPr="00692B4D">
              <w:rPr>
                <w:rStyle w:val="Hyperlink"/>
                <w:noProof/>
              </w:rPr>
              <w:t>2.6</w:t>
            </w:r>
            <w:r w:rsidR="006C3CA0">
              <w:rPr>
                <w:rFonts w:asciiTheme="minorHAnsi" w:eastAsiaTheme="minorEastAsia" w:hAnsiTheme="minorHAnsi"/>
                <w:noProof/>
                <w:sz w:val="22"/>
                <w:szCs w:val="20"/>
                <w:lang w:eastAsia="en-IN" w:bidi="hi-IN"/>
              </w:rPr>
              <w:tab/>
            </w:r>
            <w:r w:rsidR="006C3CA0" w:rsidRPr="00692B4D">
              <w:rPr>
                <w:rStyle w:val="Hyperlink"/>
                <w:noProof/>
              </w:rPr>
              <w:t>Aggregate Revenue Requirement</w:t>
            </w:r>
            <w:r w:rsidR="006C3CA0">
              <w:rPr>
                <w:noProof/>
                <w:webHidden/>
              </w:rPr>
              <w:tab/>
            </w:r>
            <w:r w:rsidR="006C3CA0">
              <w:rPr>
                <w:noProof/>
                <w:webHidden/>
              </w:rPr>
              <w:fldChar w:fldCharType="begin"/>
            </w:r>
            <w:r w:rsidR="006C3CA0">
              <w:rPr>
                <w:noProof/>
                <w:webHidden/>
              </w:rPr>
              <w:instrText xml:space="preserve"> PAGEREF _Toc498423464 \h </w:instrText>
            </w:r>
            <w:r w:rsidR="006C3CA0">
              <w:rPr>
                <w:noProof/>
                <w:webHidden/>
              </w:rPr>
            </w:r>
            <w:r w:rsidR="006C3CA0">
              <w:rPr>
                <w:noProof/>
                <w:webHidden/>
              </w:rPr>
              <w:fldChar w:fldCharType="separate"/>
            </w:r>
            <w:r w:rsidR="0045624D">
              <w:rPr>
                <w:noProof/>
                <w:webHidden/>
              </w:rPr>
              <w:t>15</w:t>
            </w:r>
            <w:r w:rsidR="006C3CA0">
              <w:rPr>
                <w:noProof/>
                <w:webHidden/>
              </w:rPr>
              <w:fldChar w:fldCharType="end"/>
            </w:r>
          </w:hyperlink>
        </w:p>
        <w:p w14:paraId="33D335BC" w14:textId="77777777" w:rsidR="006C3CA0" w:rsidRDefault="00600441">
          <w:pPr>
            <w:pStyle w:val="TOC1"/>
            <w:tabs>
              <w:tab w:val="left" w:pos="480"/>
              <w:tab w:val="right" w:leader="dot" w:pos="9016"/>
            </w:tabs>
            <w:rPr>
              <w:rFonts w:asciiTheme="minorHAnsi" w:eastAsiaTheme="minorEastAsia" w:hAnsiTheme="minorHAnsi"/>
              <w:noProof/>
              <w:sz w:val="22"/>
              <w:szCs w:val="20"/>
              <w:lang w:eastAsia="en-IN" w:bidi="hi-IN"/>
            </w:rPr>
          </w:pPr>
          <w:hyperlink w:anchor="_Toc498423465" w:history="1">
            <w:r w:rsidR="006C3CA0" w:rsidRPr="00692B4D">
              <w:rPr>
                <w:rStyle w:val="Hyperlink"/>
                <w:noProof/>
              </w:rPr>
              <w:t>3</w:t>
            </w:r>
            <w:r w:rsidR="006C3CA0">
              <w:rPr>
                <w:rFonts w:asciiTheme="minorHAnsi" w:eastAsiaTheme="minorEastAsia" w:hAnsiTheme="minorHAnsi"/>
                <w:noProof/>
                <w:sz w:val="22"/>
                <w:szCs w:val="20"/>
                <w:lang w:eastAsia="en-IN" w:bidi="hi-IN"/>
              </w:rPr>
              <w:tab/>
            </w:r>
            <w:r w:rsidR="006C3CA0" w:rsidRPr="00692B4D">
              <w:rPr>
                <w:rStyle w:val="Hyperlink"/>
                <w:noProof/>
              </w:rPr>
              <w:t>Compliance of Directives</w:t>
            </w:r>
            <w:r w:rsidR="006C3CA0">
              <w:rPr>
                <w:noProof/>
                <w:webHidden/>
              </w:rPr>
              <w:tab/>
            </w:r>
            <w:r w:rsidR="006C3CA0">
              <w:rPr>
                <w:noProof/>
                <w:webHidden/>
              </w:rPr>
              <w:fldChar w:fldCharType="begin"/>
            </w:r>
            <w:r w:rsidR="006C3CA0">
              <w:rPr>
                <w:noProof/>
                <w:webHidden/>
              </w:rPr>
              <w:instrText xml:space="preserve"> PAGEREF _Toc498423465 \h </w:instrText>
            </w:r>
            <w:r w:rsidR="006C3CA0">
              <w:rPr>
                <w:noProof/>
                <w:webHidden/>
              </w:rPr>
            </w:r>
            <w:r w:rsidR="006C3CA0">
              <w:rPr>
                <w:noProof/>
                <w:webHidden/>
              </w:rPr>
              <w:fldChar w:fldCharType="separate"/>
            </w:r>
            <w:r w:rsidR="0045624D">
              <w:rPr>
                <w:noProof/>
                <w:webHidden/>
              </w:rPr>
              <w:t>17</w:t>
            </w:r>
            <w:r w:rsidR="006C3CA0">
              <w:rPr>
                <w:noProof/>
                <w:webHidden/>
              </w:rPr>
              <w:fldChar w:fldCharType="end"/>
            </w:r>
          </w:hyperlink>
        </w:p>
        <w:p w14:paraId="48C13561"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66" w:history="1">
            <w:r w:rsidR="006C3CA0" w:rsidRPr="00692B4D">
              <w:rPr>
                <w:rStyle w:val="Hyperlink"/>
                <w:noProof/>
              </w:rPr>
              <w:t>3.1</w:t>
            </w:r>
            <w:r w:rsidR="006C3CA0">
              <w:rPr>
                <w:rFonts w:asciiTheme="minorHAnsi" w:eastAsiaTheme="minorEastAsia" w:hAnsiTheme="minorHAnsi"/>
                <w:noProof/>
                <w:sz w:val="22"/>
                <w:szCs w:val="20"/>
                <w:lang w:eastAsia="en-IN" w:bidi="hi-IN"/>
              </w:rPr>
              <w:tab/>
            </w:r>
            <w:r w:rsidR="006C3CA0" w:rsidRPr="00692B4D">
              <w:rPr>
                <w:rStyle w:val="Hyperlink"/>
                <w:noProof/>
              </w:rPr>
              <w:t>Directive 1: Autonomy of SLDC</w:t>
            </w:r>
            <w:r w:rsidR="006C3CA0">
              <w:rPr>
                <w:noProof/>
                <w:webHidden/>
              </w:rPr>
              <w:tab/>
            </w:r>
            <w:r w:rsidR="006C3CA0">
              <w:rPr>
                <w:noProof/>
                <w:webHidden/>
              </w:rPr>
              <w:fldChar w:fldCharType="begin"/>
            </w:r>
            <w:r w:rsidR="006C3CA0">
              <w:rPr>
                <w:noProof/>
                <w:webHidden/>
              </w:rPr>
              <w:instrText xml:space="preserve"> PAGEREF _Toc498423466 \h </w:instrText>
            </w:r>
            <w:r w:rsidR="006C3CA0">
              <w:rPr>
                <w:noProof/>
                <w:webHidden/>
              </w:rPr>
            </w:r>
            <w:r w:rsidR="006C3CA0">
              <w:rPr>
                <w:noProof/>
                <w:webHidden/>
              </w:rPr>
              <w:fldChar w:fldCharType="separate"/>
            </w:r>
            <w:r w:rsidR="0045624D">
              <w:rPr>
                <w:noProof/>
                <w:webHidden/>
              </w:rPr>
              <w:t>17</w:t>
            </w:r>
            <w:r w:rsidR="006C3CA0">
              <w:rPr>
                <w:noProof/>
                <w:webHidden/>
              </w:rPr>
              <w:fldChar w:fldCharType="end"/>
            </w:r>
          </w:hyperlink>
        </w:p>
        <w:p w14:paraId="37299A0A"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67" w:history="1">
            <w:r w:rsidR="006C3CA0" w:rsidRPr="00692B4D">
              <w:rPr>
                <w:rStyle w:val="Hyperlink"/>
                <w:noProof/>
              </w:rPr>
              <w:t>3.2</w:t>
            </w:r>
            <w:r w:rsidR="006C3CA0">
              <w:rPr>
                <w:rFonts w:asciiTheme="minorHAnsi" w:eastAsiaTheme="minorEastAsia" w:hAnsiTheme="minorHAnsi"/>
                <w:noProof/>
                <w:sz w:val="22"/>
                <w:szCs w:val="20"/>
                <w:lang w:eastAsia="en-IN" w:bidi="hi-IN"/>
              </w:rPr>
              <w:tab/>
            </w:r>
            <w:r w:rsidR="006C3CA0" w:rsidRPr="00692B4D">
              <w:rPr>
                <w:rStyle w:val="Hyperlink"/>
                <w:noProof/>
              </w:rPr>
              <w:t>Directive 2: Users of SLDC</w:t>
            </w:r>
            <w:r w:rsidR="006C3CA0">
              <w:rPr>
                <w:noProof/>
                <w:webHidden/>
              </w:rPr>
              <w:tab/>
            </w:r>
            <w:r w:rsidR="006C3CA0">
              <w:rPr>
                <w:noProof/>
                <w:webHidden/>
              </w:rPr>
              <w:fldChar w:fldCharType="begin"/>
            </w:r>
            <w:r w:rsidR="006C3CA0">
              <w:rPr>
                <w:noProof/>
                <w:webHidden/>
              </w:rPr>
              <w:instrText xml:space="preserve"> PAGEREF _Toc498423467 \h </w:instrText>
            </w:r>
            <w:r w:rsidR="006C3CA0">
              <w:rPr>
                <w:noProof/>
                <w:webHidden/>
              </w:rPr>
            </w:r>
            <w:r w:rsidR="006C3CA0">
              <w:rPr>
                <w:noProof/>
                <w:webHidden/>
              </w:rPr>
              <w:fldChar w:fldCharType="separate"/>
            </w:r>
            <w:r w:rsidR="0045624D">
              <w:rPr>
                <w:noProof/>
                <w:webHidden/>
              </w:rPr>
              <w:t>17</w:t>
            </w:r>
            <w:r w:rsidR="006C3CA0">
              <w:rPr>
                <w:noProof/>
                <w:webHidden/>
              </w:rPr>
              <w:fldChar w:fldCharType="end"/>
            </w:r>
          </w:hyperlink>
        </w:p>
        <w:p w14:paraId="52073644" w14:textId="77777777" w:rsidR="006C3CA0" w:rsidRDefault="00600441">
          <w:pPr>
            <w:pStyle w:val="TOC2"/>
            <w:tabs>
              <w:tab w:val="left" w:pos="880"/>
              <w:tab w:val="right" w:leader="dot" w:pos="9016"/>
            </w:tabs>
            <w:rPr>
              <w:rFonts w:asciiTheme="minorHAnsi" w:eastAsiaTheme="minorEastAsia" w:hAnsiTheme="minorHAnsi"/>
              <w:noProof/>
              <w:sz w:val="22"/>
              <w:szCs w:val="20"/>
              <w:lang w:eastAsia="en-IN" w:bidi="hi-IN"/>
            </w:rPr>
          </w:pPr>
          <w:hyperlink w:anchor="_Toc498423468" w:history="1">
            <w:r w:rsidR="006C3CA0" w:rsidRPr="00692B4D">
              <w:rPr>
                <w:rStyle w:val="Hyperlink"/>
                <w:noProof/>
              </w:rPr>
              <w:t>3.3</w:t>
            </w:r>
            <w:r w:rsidR="006C3CA0">
              <w:rPr>
                <w:rFonts w:asciiTheme="minorHAnsi" w:eastAsiaTheme="minorEastAsia" w:hAnsiTheme="minorHAnsi"/>
                <w:noProof/>
                <w:sz w:val="22"/>
                <w:szCs w:val="20"/>
                <w:lang w:eastAsia="en-IN" w:bidi="hi-IN"/>
              </w:rPr>
              <w:tab/>
            </w:r>
            <w:r w:rsidR="006C3CA0" w:rsidRPr="00692B4D">
              <w:rPr>
                <w:rStyle w:val="Hyperlink"/>
                <w:noProof/>
              </w:rPr>
              <w:t xml:space="preserve">Directive 3: </w:t>
            </w:r>
            <w:r w:rsidR="006C3CA0" w:rsidRPr="00692B4D">
              <w:rPr>
                <w:rStyle w:val="Hyperlink"/>
                <w:rFonts w:cs="Calibri,Bold"/>
                <w:noProof/>
                <w:lang w:val="en-GB"/>
              </w:rPr>
              <w:t>Implementation of Scheduling, Accounting, Metering And Settlement of Transactions in Electricity (SAMAST).</w:t>
            </w:r>
            <w:r w:rsidR="006C3CA0">
              <w:rPr>
                <w:noProof/>
                <w:webHidden/>
              </w:rPr>
              <w:tab/>
            </w:r>
            <w:r w:rsidR="006C3CA0">
              <w:rPr>
                <w:noProof/>
                <w:webHidden/>
              </w:rPr>
              <w:fldChar w:fldCharType="begin"/>
            </w:r>
            <w:r w:rsidR="006C3CA0">
              <w:rPr>
                <w:noProof/>
                <w:webHidden/>
              </w:rPr>
              <w:instrText xml:space="preserve"> PAGEREF _Toc498423468 \h </w:instrText>
            </w:r>
            <w:r w:rsidR="006C3CA0">
              <w:rPr>
                <w:noProof/>
                <w:webHidden/>
              </w:rPr>
            </w:r>
            <w:r w:rsidR="006C3CA0">
              <w:rPr>
                <w:noProof/>
                <w:webHidden/>
              </w:rPr>
              <w:fldChar w:fldCharType="separate"/>
            </w:r>
            <w:r w:rsidR="0045624D">
              <w:rPr>
                <w:noProof/>
                <w:webHidden/>
              </w:rPr>
              <w:t>18</w:t>
            </w:r>
            <w:r w:rsidR="006C3CA0">
              <w:rPr>
                <w:noProof/>
                <w:webHidden/>
              </w:rPr>
              <w:fldChar w:fldCharType="end"/>
            </w:r>
          </w:hyperlink>
        </w:p>
        <w:p w14:paraId="79B9B73A" w14:textId="77777777" w:rsidR="006C3CA0" w:rsidRDefault="00600441">
          <w:pPr>
            <w:pStyle w:val="TOC1"/>
            <w:tabs>
              <w:tab w:val="left" w:pos="480"/>
              <w:tab w:val="right" w:leader="dot" w:pos="9016"/>
            </w:tabs>
            <w:rPr>
              <w:rFonts w:asciiTheme="minorHAnsi" w:eastAsiaTheme="minorEastAsia" w:hAnsiTheme="minorHAnsi"/>
              <w:noProof/>
              <w:sz w:val="22"/>
              <w:szCs w:val="20"/>
              <w:lang w:eastAsia="en-IN" w:bidi="hi-IN"/>
            </w:rPr>
          </w:pPr>
          <w:hyperlink w:anchor="_Toc498423469" w:history="1">
            <w:r w:rsidR="006C3CA0" w:rsidRPr="00692B4D">
              <w:rPr>
                <w:rStyle w:val="Hyperlink"/>
                <w:noProof/>
              </w:rPr>
              <w:t>4</w:t>
            </w:r>
            <w:r w:rsidR="006C3CA0">
              <w:rPr>
                <w:rFonts w:asciiTheme="minorHAnsi" w:eastAsiaTheme="minorEastAsia" w:hAnsiTheme="minorHAnsi"/>
                <w:noProof/>
                <w:sz w:val="22"/>
                <w:szCs w:val="20"/>
                <w:lang w:eastAsia="en-IN" w:bidi="hi-IN"/>
              </w:rPr>
              <w:tab/>
            </w:r>
            <w:r w:rsidR="006C3CA0" w:rsidRPr="00692B4D">
              <w:rPr>
                <w:rStyle w:val="Hyperlink"/>
                <w:noProof/>
              </w:rPr>
              <w:t>Prayers</w:t>
            </w:r>
            <w:r w:rsidR="006C3CA0">
              <w:rPr>
                <w:noProof/>
                <w:webHidden/>
              </w:rPr>
              <w:tab/>
            </w:r>
            <w:r w:rsidR="006C3CA0">
              <w:rPr>
                <w:noProof/>
                <w:webHidden/>
              </w:rPr>
              <w:fldChar w:fldCharType="begin"/>
            </w:r>
            <w:r w:rsidR="006C3CA0">
              <w:rPr>
                <w:noProof/>
                <w:webHidden/>
              </w:rPr>
              <w:instrText xml:space="preserve"> PAGEREF _Toc498423469 \h </w:instrText>
            </w:r>
            <w:r w:rsidR="006C3CA0">
              <w:rPr>
                <w:noProof/>
                <w:webHidden/>
              </w:rPr>
            </w:r>
            <w:r w:rsidR="006C3CA0">
              <w:rPr>
                <w:noProof/>
                <w:webHidden/>
              </w:rPr>
              <w:fldChar w:fldCharType="separate"/>
            </w:r>
            <w:r w:rsidR="0045624D">
              <w:rPr>
                <w:noProof/>
                <w:webHidden/>
              </w:rPr>
              <w:t>19</w:t>
            </w:r>
            <w:r w:rsidR="006C3CA0">
              <w:rPr>
                <w:noProof/>
                <w:webHidden/>
              </w:rPr>
              <w:fldChar w:fldCharType="end"/>
            </w:r>
          </w:hyperlink>
        </w:p>
        <w:p w14:paraId="42DD6B20" w14:textId="77777777" w:rsidR="00EF05CA" w:rsidRDefault="00EF05CA">
          <w:r>
            <w:rPr>
              <w:b/>
              <w:bCs/>
              <w:noProof/>
            </w:rPr>
            <w:fldChar w:fldCharType="end"/>
          </w:r>
        </w:p>
      </w:sdtContent>
    </w:sdt>
    <w:p w14:paraId="436392B3" w14:textId="77777777" w:rsidR="00B26C03" w:rsidRDefault="00B26C03">
      <w:pPr>
        <w:spacing w:after="200" w:line="276" w:lineRule="auto"/>
        <w:jc w:val="left"/>
        <w:rPr>
          <w:b/>
          <w:color w:val="548DD4" w:themeColor="text2" w:themeTint="99"/>
          <w:sz w:val="28"/>
        </w:rPr>
      </w:pPr>
      <w:r>
        <w:rPr>
          <w:b/>
          <w:color w:val="548DD4" w:themeColor="text2" w:themeTint="99"/>
          <w:sz w:val="28"/>
        </w:rPr>
        <w:br w:type="page"/>
      </w:r>
    </w:p>
    <w:p w14:paraId="131CA022" w14:textId="77777777" w:rsidR="0027074E" w:rsidRDefault="0027074E" w:rsidP="00EF05CA">
      <w:pPr>
        <w:pStyle w:val="TableofFigures"/>
        <w:tabs>
          <w:tab w:val="right" w:leader="dot" w:pos="9016"/>
        </w:tabs>
        <w:jc w:val="center"/>
        <w:rPr>
          <w:b/>
          <w:color w:val="548DD4" w:themeColor="text2" w:themeTint="99"/>
          <w:sz w:val="28"/>
        </w:rPr>
      </w:pPr>
    </w:p>
    <w:p w14:paraId="5DFFC254" w14:textId="77777777" w:rsidR="00EF05CA" w:rsidRPr="00EF05CA" w:rsidRDefault="00EF05CA" w:rsidP="00EF05CA">
      <w:pPr>
        <w:pStyle w:val="TableofFigures"/>
        <w:tabs>
          <w:tab w:val="right" w:leader="dot" w:pos="9016"/>
        </w:tabs>
        <w:jc w:val="center"/>
        <w:rPr>
          <w:b/>
          <w:color w:val="548DD4" w:themeColor="text2" w:themeTint="99"/>
          <w:sz w:val="28"/>
        </w:rPr>
      </w:pPr>
      <w:r w:rsidRPr="00EF05CA">
        <w:rPr>
          <w:b/>
          <w:color w:val="548DD4" w:themeColor="text2" w:themeTint="99"/>
          <w:sz w:val="28"/>
        </w:rPr>
        <w:t>List of Tables</w:t>
      </w:r>
    </w:p>
    <w:p w14:paraId="2C79EE71" w14:textId="77777777" w:rsidR="006C3CA0" w:rsidRPr="006C3CA0" w:rsidRDefault="00EF05CA">
      <w:pPr>
        <w:pStyle w:val="TableofFigures"/>
        <w:tabs>
          <w:tab w:val="right" w:leader="dot" w:pos="9016"/>
        </w:tabs>
        <w:rPr>
          <w:rFonts w:asciiTheme="minorHAnsi" w:eastAsiaTheme="minorEastAsia" w:hAnsiTheme="minorHAnsi"/>
          <w:noProof/>
          <w:sz w:val="22"/>
          <w:szCs w:val="20"/>
          <w:lang w:eastAsia="en-IN" w:bidi="hi-IN"/>
        </w:rPr>
      </w:pPr>
      <w:r>
        <w:fldChar w:fldCharType="begin"/>
      </w:r>
      <w:r>
        <w:instrText xml:space="preserve"> TOC \h \z \c "Table" </w:instrText>
      </w:r>
      <w:r>
        <w:fldChar w:fldCharType="separate"/>
      </w:r>
      <w:hyperlink w:anchor="_Toc498423470" w:history="1">
        <w:r w:rsidR="006C3CA0" w:rsidRPr="006C3CA0">
          <w:rPr>
            <w:rStyle w:val="Hyperlink"/>
            <w:noProof/>
          </w:rPr>
          <w:t>Table 2</w:t>
        </w:r>
        <w:r w:rsidR="006C3CA0" w:rsidRPr="006C3CA0">
          <w:rPr>
            <w:rStyle w:val="Hyperlink"/>
            <w:noProof/>
          </w:rPr>
          <w:noBreakHyphen/>
          <w:t>1: Computation for indexation based on CPI and WPI</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_Toc498423470 \h </w:instrText>
        </w:r>
        <w:r w:rsidR="006C3CA0" w:rsidRPr="006C3CA0">
          <w:rPr>
            <w:noProof/>
            <w:webHidden/>
          </w:rPr>
        </w:r>
        <w:r w:rsidR="006C3CA0" w:rsidRPr="006C3CA0">
          <w:rPr>
            <w:noProof/>
            <w:webHidden/>
          </w:rPr>
          <w:fldChar w:fldCharType="separate"/>
        </w:r>
        <w:r w:rsidR="0045624D">
          <w:rPr>
            <w:noProof/>
            <w:webHidden/>
          </w:rPr>
          <w:t>9</w:t>
        </w:r>
        <w:r w:rsidR="006C3CA0" w:rsidRPr="006C3CA0">
          <w:rPr>
            <w:noProof/>
            <w:webHidden/>
          </w:rPr>
          <w:fldChar w:fldCharType="end"/>
        </w:r>
      </w:hyperlink>
    </w:p>
    <w:p w14:paraId="5CBD348C"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1" w:history="1">
        <w:r w:rsidR="006C3CA0" w:rsidRPr="006C3CA0">
          <w:rPr>
            <w:rStyle w:val="Hyperlink"/>
            <w:noProof/>
          </w:rPr>
          <w:t>Table 2</w:t>
        </w:r>
        <w:r w:rsidR="006C3CA0" w:rsidRPr="006C3CA0">
          <w:rPr>
            <w:rStyle w:val="Hyperlink"/>
            <w:noProof/>
          </w:rPr>
          <w:noBreakHyphen/>
          <w:t>2: Actual employee cost for first six month of FY 2017-18 (April, 2017 to September, 2018) (in Rs.)</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_Toc498423471 \h </w:instrText>
        </w:r>
        <w:r w:rsidR="006C3CA0" w:rsidRPr="006C3CA0">
          <w:rPr>
            <w:noProof/>
            <w:webHidden/>
          </w:rPr>
        </w:r>
        <w:r w:rsidR="006C3CA0" w:rsidRPr="006C3CA0">
          <w:rPr>
            <w:noProof/>
            <w:webHidden/>
          </w:rPr>
          <w:fldChar w:fldCharType="separate"/>
        </w:r>
        <w:r w:rsidR="0045624D">
          <w:rPr>
            <w:noProof/>
            <w:webHidden/>
          </w:rPr>
          <w:t>10</w:t>
        </w:r>
        <w:r w:rsidR="006C3CA0" w:rsidRPr="006C3CA0">
          <w:rPr>
            <w:noProof/>
            <w:webHidden/>
          </w:rPr>
          <w:fldChar w:fldCharType="end"/>
        </w:r>
      </w:hyperlink>
    </w:p>
    <w:p w14:paraId="6195D458"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2" w:history="1">
        <w:r w:rsidR="006C3CA0" w:rsidRPr="006C3CA0">
          <w:rPr>
            <w:rStyle w:val="Hyperlink"/>
            <w:noProof/>
          </w:rPr>
          <w:t>Table 2</w:t>
        </w:r>
        <w:r w:rsidR="006C3CA0" w:rsidRPr="006C3CA0">
          <w:rPr>
            <w:rStyle w:val="Hyperlink"/>
            <w:noProof/>
          </w:rPr>
          <w:noBreakHyphen/>
          <w:t>3: Projected Employee Expenses for FY 2017-18 and FY 2018-19 (Rs. Crore)</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_Toc498423472 \h </w:instrText>
        </w:r>
        <w:r w:rsidR="006C3CA0" w:rsidRPr="006C3CA0">
          <w:rPr>
            <w:noProof/>
            <w:webHidden/>
          </w:rPr>
        </w:r>
        <w:r w:rsidR="006C3CA0" w:rsidRPr="006C3CA0">
          <w:rPr>
            <w:noProof/>
            <w:webHidden/>
          </w:rPr>
          <w:fldChar w:fldCharType="separate"/>
        </w:r>
        <w:r w:rsidR="0045624D">
          <w:rPr>
            <w:noProof/>
            <w:webHidden/>
          </w:rPr>
          <w:t>11</w:t>
        </w:r>
        <w:r w:rsidR="006C3CA0" w:rsidRPr="006C3CA0">
          <w:rPr>
            <w:noProof/>
            <w:webHidden/>
          </w:rPr>
          <w:fldChar w:fldCharType="end"/>
        </w:r>
      </w:hyperlink>
    </w:p>
    <w:p w14:paraId="4C002CFA"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3" w:history="1">
        <w:r w:rsidR="006C3CA0" w:rsidRPr="006C3CA0">
          <w:rPr>
            <w:rStyle w:val="Hyperlink"/>
            <w:noProof/>
          </w:rPr>
          <w:t>Table 2</w:t>
        </w:r>
        <w:r w:rsidR="006C3CA0" w:rsidRPr="006C3CA0">
          <w:rPr>
            <w:rStyle w:val="Hyperlink"/>
            <w:noProof/>
          </w:rPr>
          <w:noBreakHyphen/>
          <w:t>4: Actual A&amp;G expenses for first six month of FY 2017-18 (April, 2017 to September, 2018) (in Rs.)</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_Toc498423473 \h </w:instrText>
        </w:r>
        <w:r w:rsidR="006C3CA0" w:rsidRPr="006C3CA0">
          <w:rPr>
            <w:noProof/>
            <w:webHidden/>
          </w:rPr>
        </w:r>
        <w:r w:rsidR="006C3CA0" w:rsidRPr="006C3CA0">
          <w:rPr>
            <w:noProof/>
            <w:webHidden/>
          </w:rPr>
          <w:fldChar w:fldCharType="separate"/>
        </w:r>
        <w:r w:rsidR="0045624D">
          <w:rPr>
            <w:noProof/>
            <w:webHidden/>
          </w:rPr>
          <w:t>12</w:t>
        </w:r>
        <w:r w:rsidR="006C3CA0" w:rsidRPr="006C3CA0">
          <w:rPr>
            <w:noProof/>
            <w:webHidden/>
          </w:rPr>
          <w:fldChar w:fldCharType="end"/>
        </w:r>
      </w:hyperlink>
    </w:p>
    <w:p w14:paraId="3DCA5A12"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4" w:history="1">
        <w:r w:rsidR="006C3CA0" w:rsidRPr="006C3CA0">
          <w:rPr>
            <w:rStyle w:val="Hyperlink"/>
            <w:noProof/>
          </w:rPr>
          <w:t>Table 2</w:t>
        </w:r>
        <w:r w:rsidR="006C3CA0" w:rsidRPr="006C3CA0">
          <w:rPr>
            <w:rStyle w:val="Hyperlink"/>
            <w:noProof/>
          </w:rPr>
          <w:noBreakHyphen/>
          <w:t>5: Projected A&amp;G expenses for FY 2017-18 and FY 2018-19 (Rs. Crore)</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_Toc498423474 \h </w:instrText>
        </w:r>
        <w:r w:rsidR="006C3CA0" w:rsidRPr="006C3CA0">
          <w:rPr>
            <w:noProof/>
            <w:webHidden/>
          </w:rPr>
        </w:r>
        <w:r w:rsidR="006C3CA0" w:rsidRPr="006C3CA0">
          <w:rPr>
            <w:noProof/>
            <w:webHidden/>
          </w:rPr>
          <w:fldChar w:fldCharType="separate"/>
        </w:r>
        <w:r w:rsidR="0045624D">
          <w:rPr>
            <w:noProof/>
            <w:webHidden/>
          </w:rPr>
          <w:t>12</w:t>
        </w:r>
        <w:r w:rsidR="006C3CA0" w:rsidRPr="006C3CA0">
          <w:rPr>
            <w:noProof/>
            <w:webHidden/>
          </w:rPr>
          <w:fldChar w:fldCharType="end"/>
        </w:r>
      </w:hyperlink>
    </w:p>
    <w:p w14:paraId="16EE49EB"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5" w:history="1">
        <w:r w:rsidR="006C3CA0" w:rsidRPr="006C3CA0">
          <w:rPr>
            <w:rStyle w:val="Hyperlink"/>
            <w:noProof/>
          </w:rPr>
          <w:t>Table 2</w:t>
        </w:r>
        <w:r w:rsidR="006C3CA0" w:rsidRPr="006C3CA0">
          <w:rPr>
            <w:rStyle w:val="Hyperlink"/>
            <w:noProof/>
          </w:rPr>
          <w:noBreakHyphen/>
          <w:t>6: Projected R&amp;M Expenses for FY 2017-18 and FY 2018-19 (Rs. Crore)</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_Toc498423475 \h </w:instrText>
        </w:r>
        <w:r w:rsidR="006C3CA0" w:rsidRPr="006C3CA0">
          <w:rPr>
            <w:noProof/>
            <w:webHidden/>
          </w:rPr>
        </w:r>
        <w:r w:rsidR="006C3CA0" w:rsidRPr="006C3CA0">
          <w:rPr>
            <w:noProof/>
            <w:webHidden/>
          </w:rPr>
          <w:fldChar w:fldCharType="separate"/>
        </w:r>
        <w:r w:rsidR="0045624D">
          <w:rPr>
            <w:noProof/>
            <w:webHidden/>
          </w:rPr>
          <w:t>13</w:t>
        </w:r>
        <w:r w:rsidR="006C3CA0" w:rsidRPr="006C3CA0">
          <w:rPr>
            <w:noProof/>
            <w:webHidden/>
          </w:rPr>
          <w:fldChar w:fldCharType="end"/>
        </w:r>
      </w:hyperlink>
    </w:p>
    <w:p w14:paraId="4E968CFE"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6" w:history="1">
        <w:r w:rsidR="006C3CA0" w:rsidRPr="006C3CA0">
          <w:rPr>
            <w:rStyle w:val="Hyperlink"/>
            <w:noProof/>
          </w:rPr>
          <w:t>Table 2</w:t>
        </w:r>
        <w:r w:rsidR="006C3CA0" w:rsidRPr="006C3CA0">
          <w:rPr>
            <w:rStyle w:val="Hyperlink"/>
            <w:noProof/>
          </w:rPr>
          <w:noBreakHyphen/>
          <w:t>7: Summary of the O&amp;M expenses for FY 2017-18 and FY 2018-19 (Rs. Crore)</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_Toc498423476 \h </w:instrText>
        </w:r>
        <w:r w:rsidR="006C3CA0" w:rsidRPr="006C3CA0">
          <w:rPr>
            <w:noProof/>
            <w:webHidden/>
          </w:rPr>
        </w:r>
        <w:r w:rsidR="006C3CA0" w:rsidRPr="006C3CA0">
          <w:rPr>
            <w:noProof/>
            <w:webHidden/>
          </w:rPr>
          <w:fldChar w:fldCharType="separate"/>
        </w:r>
        <w:r w:rsidR="0045624D">
          <w:rPr>
            <w:noProof/>
            <w:webHidden/>
          </w:rPr>
          <w:t>14</w:t>
        </w:r>
        <w:r w:rsidR="006C3CA0" w:rsidRPr="006C3CA0">
          <w:rPr>
            <w:noProof/>
            <w:webHidden/>
          </w:rPr>
          <w:fldChar w:fldCharType="end"/>
        </w:r>
      </w:hyperlink>
    </w:p>
    <w:p w14:paraId="00ABD733"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7" w:history="1">
        <w:r w:rsidR="006C3CA0" w:rsidRPr="006C3CA0">
          <w:rPr>
            <w:rStyle w:val="Hyperlink"/>
            <w:noProof/>
          </w:rPr>
          <w:t>Table 2</w:t>
        </w:r>
        <w:r w:rsidR="006C3CA0" w:rsidRPr="006C3CA0">
          <w:rPr>
            <w:rStyle w:val="Hyperlink"/>
            <w:noProof/>
          </w:rPr>
          <w:noBreakHyphen/>
          <w:t>8:</w:t>
        </w:r>
        <w:r w:rsidR="006C3CA0" w:rsidRPr="006C3CA0">
          <w:rPr>
            <w:rStyle w:val="Hyperlink"/>
            <w:rFonts w:cs="David"/>
            <w:noProof/>
            <w:lang w:val="en-GB" w:eastAsia="x-none"/>
          </w:rPr>
          <w:t xml:space="preserve"> </w:t>
        </w:r>
        <w:r w:rsidR="006C3CA0" w:rsidRPr="006C3CA0">
          <w:rPr>
            <w:rStyle w:val="Hyperlink"/>
            <w:rFonts w:cs="David"/>
            <w:noProof/>
            <w:lang w:eastAsia="x-none"/>
          </w:rPr>
          <w:t>Norms for Working Capital Requirement</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_Toc498423477 \h </w:instrText>
        </w:r>
        <w:r w:rsidR="006C3CA0" w:rsidRPr="006C3CA0">
          <w:rPr>
            <w:noProof/>
            <w:webHidden/>
          </w:rPr>
        </w:r>
        <w:r w:rsidR="006C3CA0" w:rsidRPr="006C3CA0">
          <w:rPr>
            <w:noProof/>
            <w:webHidden/>
          </w:rPr>
          <w:fldChar w:fldCharType="separate"/>
        </w:r>
        <w:r w:rsidR="0045624D">
          <w:rPr>
            <w:noProof/>
            <w:webHidden/>
          </w:rPr>
          <w:t>14</w:t>
        </w:r>
        <w:r w:rsidR="006C3CA0" w:rsidRPr="006C3CA0">
          <w:rPr>
            <w:noProof/>
            <w:webHidden/>
          </w:rPr>
          <w:fldChar w:fldCharType="end"/>
        </w:r>
      </w:hyperlink>
    </w:p>
    <w:p w14:paraId="5B6B7AB8" w14:textId="77777777" w:rsidR="006C3CA0" w:rsidRP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8" w:history="1">
        <w:r w:rsidR="006C3CA0" w:rsidRPr="006C3CA0">
          <w:rPr>
            <w:rStyle w:val="Hyperlink"/>
            <w:noProof/>
          </w:rPr>
          <w:t>Table 2</w:t>
        </w:r>
        <w:r w:rsidR="006C3CA0" w:rsidRPr="006C3CA0">
          <w:rPr>
            <w:rStyle w:val="Hyperlink"/>
            <w:noProof/>
          </w:rPr>
          <w:noBreakHyphen/>
          <w:t>9: Revised Interest on Working Capital (IWC) for FY 2017-18 and Projected IWC for FY 2018-19 (Rs. Crore)</w:t>
        </w:r>
        <w:r w:rsidR="006C3CA0" w:rsidRPr="006C3CA0">
          <w:rPr>
            <w:noProof/>
            <w:webHidden/>
          </w:rPr>
          <w:tab/>
        </w:r>
        <w:r w:rsidR="006C3CA0" w:rsidRPr="006C3CA0">
          <w:rPr>
            <w:noProof/>
            <w:webHidden/>
          </w:rPr>
          <w:fldChar w:fldCharType="begin"/>
        </w:r>
        <w:r w:rsidR="006C3CA0" w:rsidRPr="006C3CA0">
          <w:rPr>
            <w:noProof/>
            <w:webHidden/>
          </w:rPr>
          <w:instrText xml:space="preserve"> PAGEREF _Toc498423478 \h </w:instrText>
        </w:r>
        <w:r w:rsidR="006C3CA0" w:rsidRPr="006C3CA0">
          <w:rPr>
            <w:noProof/>
            <w:webHidden/>
          </w:rPr>
        </w:r>
        <w:r w:rsidR="006C3CA0" w:rsidRPr="006C3CA0">
          <w:rPr>
            <w:noProof/>
            <w:webHidden/>
          </w:rPr>
          <w:fldChar w:fldCharType="separate"/>
        </w:r>
        <w:r w:rsidR="0045624D">
          <w:rPr>
            <w:noProof/>
            <w:webHidden/>
          </w:rPr>
          <w:t>15</w:t>
        </w:r>
        <w:r w:rsidR="006C3CA0" w:rsidRPr="006C3CA0">
          <w:rPr>
            <w:noProof/>
            <w:webHidden/>
          </w:rPr>
          <w:fldChar w:fldCharType="end"/>
        </w:r>
      </w:hyperlink>
    </w:p>
    <w:p w14:paraId="454FD1B7" w14:textId="77777777" w:rsidR="006C3CA0" w:rsidRDefault="00600441">
      <w:pPr>
        <w:pStyle w:val="TableofFigures"/>
        <w:tabs>
          <w:tab w:val="right" w:leader="dot" w:pos="9016"/>
        </w:tabs>
        <w:rPr>
          <w:rFonts w:asciiTheme="minorHAnsi" w:eastAsiaTheme="minorEastAsia" w:hAnsiTheme="minorHAnsi"/>
          <w:noProof/>
          <w:sz w:val="22"/>
          <w:szCs w:val="20"/>
          <w:lang w:eastAsia="en-IN" w:bidi="hi-IN"/>
        </w:rPr>
      </w:pPr>
      <w:hyperlink w:anchor="_Toc498423479" w:history="1">
        <w:r w:rsidR="006C3CA0" w:rsidRPr="007D0248">
          <w:rPr>
            <w:rStyle w:val="Hyperlink"/>
            <w:noProof/>
          </w:rPr>
          <w:t>Table 2</w:t>
        </w:r>
        <w:r w:rsidR="006C3CA0" w:rsidRPr="007D0248">
          <w:rPr>
            <w:rStyle w:val="Hyperlink"/>
            <w:noProof/>
          </w:rPr>
          <w:noBreakHyphen/>
          <w:t>10: Revised ARR for FY 2017-18 and Projected ARR for FY 2018-19 (Rs. Crore)</w:t>
        </w:r>
        <w:r w:rsidR="006C3CA0">
          <w:rPr>
            <w:noProof/>
            <w:webHidden/>
          </w:rPr>
          <w:tab/>
        </w:r>
        <w:r w:rsidR="006C3CA0">
          <w:rPr>
            <w:noProof/>
            <w:webHidden/>
          </w:rPr>
          <w:fldChar w:fldCharType="begin"/>
        </w:r>
        <w:r w:rsidR="006C3CA0">
          <w:rPr>
            <w:noProof/>
            <w:webHidden/>
          </w:rPr>
          <w:instrText xml:space="preserve"> PAGEREF _Toc498423479 \h </w:instrText>
        </w:r>
        <w:r w:rsidR="006C3CA0">
          <w:rPr>
            <w:noProof/>
            <w:webHidden/>
          </w:rPr>
        </w:r>
        <w:r w:rsidR="006C3CA0">
          <w:rPr>
            <w:noProof/>
            <w:webHidden/>
          </w:rPr>
          <w:fldChar w:fldCharType="separate"/>
        </w:r>
        <w:r w:rsidR="0045624D">
          <w:rPr>
            <w:noProof/>
            <w:webHidden/>
          </w:rPr>
          <w:t>15</w:t>
        </w:r>
        <w:r w:rsidR="006C3CA0">
          <w:rPr>
            <w:noProof/>
            <w:webHidden/>
          </w:rPr>
          <w:fldChar w:fldCharType="end"/>
        </w:r>
      </w:hyperlink>
    </w:p>
    <w:p w14:paraId="46F5A3D0" w14:textId="77777777" w:rsidR="000D5194" w:rsidRDefault="00EF05CA" w:rsidP="00D73E91">
      <w:r>
        <w:fldChar w:fldCharType="end"/>
      </w:r>
      <w:r w:rsidR="00332609">
        <w:br w:type="page"/>
      </w:r>
    </w:p>
    <w:p w14:paraId="589A37D4" w14:textId="77777777" w:rsidR="007D22FE" w:rsidRDefault="00F9450F" w:rsidP="00D73E91">
      <w:pPr>
        <w:pStyle w:val="Heading1"/>
      </w:pPr>
      <w:bookmarkStart w:id="1" w:name="_Toc498423453"/>
      <w:r>
        <w:lastRenderedPageBreak/>
        <w:t>Introduction</w:t>
      </w:r>
      <w:bookmarkEnd w:id="1"/>
    </w:p>
    <w:p w14:paraId="2F5CB4FB" w14:textId="77777777" w:rsidR="00324B75" w:rsidRPr="00324B75" w:rsidRDefault="00324B75" w:rsidP="00324B75"/>
    <w:p w14:paraId="1297C96B" w14:textId="77777777" w:rsidR="00F9450F" w:rsidRPr="008F6628" w:rsidRDefault="00F9450F" w:rsidP="00C652D0">
      <w:pPr>
        <w:pStyle w:val="BodyText"/>
        <w:numPr>
          <w:ilvl w:val="0"/>
          <w:numId w:val="5"/>
        </w:numPr>
        <w:jc w:val="both"/>
        <w:rPr>
          <w:rFonts w:ascii="Book Antiqua" w:hAnsi="Book Antiqua"/>
        </w:rPr>
      </w:pPr>
      <w:r w:rsidRPr="008F6628">
        <w:rPr>
          <w:rFonts w:ascii="Book Antiqua" w:hAnsi="Book Antiqua"/>
          <w:b/>
        </w:rPr>
        <w:t>Bihar State Electricity Board (“Board” or “</w:t>
      </w:r>
      <w:proofErr w:type="spellStart"/>
      <w:r w:rsidRPr="008F6628">
        <w:rPr>
          <w:rFonts w:ascii="Book Antiqua" w:hAnsi="Book Antiqua"/>
          <w:b/>
        </w:rPr>
        <w:t>BSEB</w:t>
      </w:r>
      <w:proofErr w:type="spellEnd"/>
      <w:r w:rsidRPr="008F6628">
        <w:rPr>
          <w:rFonts w:ascii="Book Antiqua" w:hAnsi="Book Antiqua"/>
        </w:rPr>
        <w:t>”) originally constituted on 1st April 1958 under Section 5 of the Electricity (Supply) Act, 1948 and was engaged in the management of electricity generation, transmission, distribution and related activities in the State of Bihar.</w:t>
      </w:r>
    </w:p>
    <w:p w14:paraId="6416C53E" w14:textId="77777777" w:rsidR="00F9450F" w:rsidRPr="008F6628" w:rsidRDefault="00F9450F" w:rsidP="00F9450F">
      <w:pPr>
        <w:pStyle w:val="BodyText"/>
        <w:ind w:left="360"/>
        <w:jc w:val="both"/>
        <w:rPr>
          <w:rFonts w:ascii="Book Antiqua" w:hAnsi="Book Antiqua"/>
        </w:rPr>
      </w:pPr>
    </w:p>
    <w:p w14:paraId="5899BE47" w14:textId="77777777" w:rsidR="00F9450F" w:rsidRDefault="00F9450F" w:rsidP="00C652D0">
      <w:pPr>
        <w:pStyle w:val="BodyText"/>
        <w:numPr>
          <w:ilvl w:val="0"/>
          <w:numId w:val="5"/>
        </w:numPr>
        <w:jc w:val="both"/>
        <w:rPr>
          <w:rFonts w:ascii="Book Antiqua" w:hAnsi="Book Antiqua"/>
        </w:rPr>
      </w:pPr>
      <w:r w:rsidRPr="008F6628">
        <w:rPr>
          <w:rFonts w:ascii="Book Antiqua" w:hAnsi="Book Antiqua"/>
        </w:rPr>
        <w:t xml:space="preserve">Under the new </w:t>
      </w:r>
      <w:r w:rsidRPr="008F6628">
        <w:rPr>
          <w:rFonts w:ascii="Book Antiqua" w:hAnsi="Book Antiqua"/>
          <w:b/>
        </w:rPr>
        <w:t>‘Bihar State Electricity Reforms Transfer Scheme 2012’</w:t>
      </w:r>
      <w:r w:rsidRPr="008F6628">
        <w:rPr>
          <w:rFonts w:ascii="Book Antiqua" w:hAnsi="Book Antiqua"/>
        </w:rPr>
        <w:t xml:space="preserve">, the </w:t>
      </w:r>
      <w:proofErr w:type="spellStart"/>
      <w:r w:rsidRPr="008F6628">
        <w:rPr>
          <w:rFonts w:ascii="Book Antiqua" w:hAnsi="Book Antiqua"/>
        </w:rPr>
        <w:t>BSEB</w:t>
      </w:r>
      <w:proofErr w:type="spellEnd"/>
      <w:r w:rsidRPr="008F6628">
        <w:rPr>
          <w:rFonts w:ascii="Book Antiqua" w:hAnsi="Book Antiqua"/>
        </w:rPr>
        <w:t xml:space="preserve"> has been unbundled into five companies: Bihar State Power (Holding) Company Limited (</w:t>
      </w:r>
      <w:proofErr w:type="spellStart"/>
      <w:r w:rsidRPr="008F6628">
        <w:rPr>
          <w:rFonts w:ascii="Book Antiqua" w:hAnsi="Book Antiqua"/>
        </w:rPr>
        <w:t>BSPHCL</w:t>
      </w:r>
      <w:proofErr w:type="spellEnd"/>
      <w:r w:rsidRPr="008F6628">
        <w:rPr>
          <w:rFonts w:ascii="Book Antiqua" w:hAnsi="Book Antiqua"/>
        </w:rPr>
        <w:t>), Bihar State Power Transmission Company Limited (</w:t>
      </w:r>
      <w:proofErr w:type="spellStart"/>
      <w:r w:rsidRPr="008F6628">
        <w:rPr>
          <w:rFonts w:ascii="Book Antiqua" w:hAnsi="Book Antiqua"/>
        </w:rPr>
        <w:t>BSPTCL</w:t>
      </w:r>
      <w:proofErr w:type="spellEnd"/>
      <w:r w:rsidRPr="008F6628">
        <w:rPr>
          <w:rFonts w:ascii="Book Antiqua" w:hAnsi="Book Antiqua"/>
        </w:rPr>
        <w:t>), Bihar State Power Generation Company Limited (</w:t>
      </w:r>
      <w:proofErr w:type="spellStart"/>
      <w:r w:rsidRPr="008F6628">
        <w:rPr>
          <w:rFonts w:ascii="Book Antiqua" w:hAnsi="Book Antiqua"/>
        </w:rPr>
        <w:t>BSPGCL</w:t>
      </w:r>
      <w:proofErr w:type="spellEnd"/>
      <w:r w:rsidRPr="008F6628">
        <w:rPr>
          <w:rFonts w:ascii="Book Antiqua" w:hAnsi="Book Antiqua"/>
        </w:rPr>
        <w:t>), South Bihar Power Distribution Company Limited (</w:t>
      </w:r>
      <w:proofErr w:type="spellStart"/>
      <w:r w:rsidRPr="008F6628">
        <w:rPr>
          <w:rFonts w:ascii="Book Antiqua" w:hAnsi="Book Antiqua"/>
        </w:rPr>
        <w:t>SBPDCL</w:t>
      </w:r>
      <w:proofErr w:type="spellEnd"/>
      <w:r w:rsidRPr="008F6628">
        <w:rPr>
          <w:rFonts w:ascii="Book Antiqua" w:hAnsi="Book Antiqua"/>
        </w:rPr>
        <w:t>) and North Bihar Power Distribution Company Limited (</w:t>
      </w:r>
      <w:proofErr w:type="spellStart"/>
      <w:r w:rsidRPr="008F6628">
        <w:rPr>
          <w:rFonts w:ascii="Book Antiqua" w:hAnsi="Book Antiqua"/>
        </w:rPr>
        <w:t>NBPDCL</w:t>
      </w:r>
      <w:proofErr w:type="spellEnd"/>
      <w:r w:rsidRPr="008F6628">
        <w:rPr>
          <w:rFonts w:ascii="Book Antiqua" w:hAnsi="Book Antiqua"/>
        </w:rPr>
        <w:t>) with effect from 1st November’ 2012 vide notification dated 30.10.2012.</w:t>
      </w:r>
    </w:p>
    <w:p w14:paraId="1D259312" w14:textId="77777777" w:rsidR="00F9450F" w:rsidRPr="008F6628" w:rsidRDefault="00F9450F" w:rsidP="00F9450F">
      <w:pPr>
        <w:pStyle w:val="BodyText"/>
        <w:jc w:val="both"/>
        <w:rPr>
          <w:rFonts w:ascii="Book Antiqua" w:hAnsi="Book Antiqua"/>
        </w:rPr>
      </w:pPr>
    </w:p>
    <w:p w14:paraId="4587D4E2" w14:textId="77777777" w:rsidR="00F9450F" w:rsidRPr="008F6628" w:rsidRDefault="00F9450F" w:rsidP="00C652D0">
      <w:pPr>
        <w:pStyle w:val="BodyText"/>
        <w:numPr>
          <w:ilvl w:val="0"/>
          <w:numId w:val="5"/>
        </w:numPr>
        <w:jc w:val="both"/>
        <w:rPr>
          <w:rFonts w:ascii="Book Antiqua" w:hAnsi="Book Antiqua"/>
        </w:rPr>
      </w:pPr>
      <w:r w:rsidRPr="008F6628">
        <w:rPr>
          <w:rFonts w:ascii="Book Antiqua" w:hAnsi="Book Antiqua"/>
          <w:b/>
        </w:rPr>
        <w:t>‘’Bihar State Power (Holding) Company Limited’’ or “</w:t>
      </w:r>
      <w:proofErr w:type="spellStart"/>
      <w:r w:rsidRPr="008F6628">
        <w:rPr>
          <w:rFonts w:ascii="Book Antiqua" w:hAnsi="Book Antiqua"/>
          <w:b/>
        </w:rPr>
        <w:t>BSP</w:t>
      </w:r>
      <w:proofErr w:type="spellEnd"/>
      <w:r w:rsidRPr="008F6628">
        <w:rPr>
          <w:rFonts w:ascii="Book Antiqua" w:hAnsi="Book Antiqua"/>
          <w:b/>
        </w:rPr>
        <w:t xml:space="preserve">(H)CL” </w:t>
      </w:r>
      <w:r w:rsidRPr="008F6628">
        <w:rPr>
          <w:rFonts w:ascii="Book Antiqua" w:hAnsi="Book Antiqua"/>
        </w:rPr>
        <w:t>means the Company that will own shares of newly incorporated reorganized four companies i.e. Bihar State Power Generation Company Limited, Bihar State Power Transmission Company Limited, South Bihar Power Distribution Company Limited, and North Bihar Power Distribution Company Limited.</w:t>
      </w:r>
    </w:p>
    <w:p w14:paraId="06FEB68D" w14:textId="77777777" w:rsidR="00F9450F" w:rsidRPr="008F6628" w:rsidRDefault="00F9450F" w:rsidP="00F9450F">
      <w:pPr>
        <w:pStyle w:val="BodyText"/>
        <w:jc w:val="both"/>
        <w:rPr>
          <w:rFonts w:ascii="Book Antiqua" w:hAnsi="Book Antiqua"/>
        </w:rPr>
      </w:pPr>
    </w:p>
    <w:p w14:paraId="74ADE788" w14:textId="77777777" w:rsidR="00F9450F" w:rsidRPr="008F6628" w:rsidRDefault="00F9450F" w:rsidP="00C652D0">
      <w:pPr>
        <w:pStyle w:val="BodyText"/>
        <w:numPr>
          <w:ilvl w:val="0"/>
          <w:numId w:val="5"/>
        </w:numPr>
        <w:jc w:val="both"/>
        <w:rPr>
          <w:rFonts w:ascii="Book Antiqua" w:hAnsi="Book Antiqua"/>
        </w:rPr>
      </w:pPr>
      <w:r w:rsidRPr="008F6628">
        <w:rPr>
          <w:rFonts w:ascii="Book Antiqua" w:hAnsi="Book Antiqua"/>
          <w:b/>
        </w:rPr>
        <w:t>“Bihar State Power Generation Company Limited’’</w:t>
      </w:r>
      <w:r w:rsidRPr="008F6628">
        <w:rPr>
          <w:rFonts w:ascii="Book Antiqua" w:hAnsi="Book Antiqua"/>
        </w:rPr>
        <w:t xml:space="preserve"> or “</w:t>
      </w:r>
      <w:proofErr w:type="spellStart"/>
      <w:r w:rsidRPr="008F6628">
        <w:rPr>
          <w:rFonts w:ascii="Book Antiqua" w:hAnsi="Book Antiqua"/>
        </w:rPr>
        <w:t>BSPGCL</w:t>
      </w:r>
      <w:proofErr w:type="spellEnd"/>
      <w:r w:rsidRPr="008F6628">
        <w:rPr>
          <w:rFonts w:ascii="Book Antiqua" w:hAnsi="Book Antiqua"/>
        </w:rPr>
        <w:t>” means the Generating Company to which the Generating Undertakings of the Board are to be transferred in accordance with this Scheme</w:t>
      </w:r>
    </w:p>
    <w:p w14:paraId="4E9841F8" w14:textId="77777777" w:rsidR="00F9450F" w:rsidRPr="008F6628" w:rsidRDefault="00F9450F" w:rsidP="00F9450F">
      <w:pPr>
        <w:pStyle w:val="BodyText"/>
        <w:ind w:left="360"/>
        <w:jc w:val="both"/>
        <w:rPr>
          <w:rFonts w:ascii="Book Antiqua" w:hAnsi="Book Antiqua"/>
        </w:rPr>
      </w:pPr>
    </w:p>
    <w:p w14:paraId="4227A0C8" w14:textId="77777777" w:rsidR="00F9450F" w:rsidRPr="008F6628" w:rsidRDefault="00F9450F" w:rsidP="00C652D0">
      <w:pPr>
        <w:pStyle w:val="BodyText"/>
        <w:numPr>
          <w:ilvl w:val="0"/>
          <w:numId w:val="5"/>
        </w:numPr>
        <w:jc w:val="both"/>
        <w:rPr>
          <w:rFonts w:ascii="Book Antiqua" w:hAnsi="Book Antiqua"/>
        </w:rPr>
      </w:pPr>
      <w:r w:rsidRPr="008F6628">
        <w:rPr>
          <w:rFonts w:ascii="Book Antiqua" w:hAnsi="Book Antiqua"/>
          <w:b/>
        </w:rPr>
        <w:t>“Bihar State Power Transmission Company Limited’’</w:t>
      </w:r>
      <w:r w:rsidRPr="008F6628">
        <w:rPr>
          <w:rFonts w:ascii="Book Antiqua" w:hAnsi="Book Antiqua"/>
        </w:rPr>
        <w:t xml:space="preserve"> or “</w:t>
      </w:r>
      <w:proofErr w:type="spellStart"/>
      <w:r w:rsidRPr="008F6628">
        <w:rPr>
          <w:rFonts w:ascii="Book Antiqua" w:hAnsi="Book Antiqua"/>
        </w:rPr>
        <w:t>BSPTCL</w:t>
      </w:r>
      <w:proofErr w:type="spellEnd"/>
      <w:r w:rsidRPr="008F6628">
        <w:rPr>
          <w:rFonts w:ascii="Book Antiqua" w:hAnsi="Book Antiqua"/>
        </w:rPr>
        <w:t>” means the Transmission Company to which the Transmission Undertakings of the Board are to be transferred in accordance with this Scheme</w:t>
      </w:r>
    </w:p>
    <w:p w14:paraId="055002C2" w14:textId="77777777" w:rsidR="00F9450F" w:rsidRPr="008F6628" w:rsidRDefault="00F9450F" w:rsidP="00F9450F">
      <w:pPr>
        <w:pStyle w:val="BodyText"/>
        <w:ind w:left="360"/>
        <w:jc w:val="both"/>
        <w:rPr>
          <w:rFonts w:ascii="Book Antiqua" w:hAnsi="Book Antiqua"/>
        </w:rPr>
      </w:pPr>
    </w:p>
    <w:p w14:paraId="698687BE" w14:textId="77777777" w:rsidR="00F9450F" w:rsidRPr="008F6628" w:rsidRDefault="00F9450F" w:rsidP="00C652D0">
      <w:pPr>
        <w:pStyle w:val="BodyText"/>
        <w:numPr>
          <w:ilvl w:val="0"/>
          <w:numId w:val="5"/>
        </w:numPr>
        <w:jc w:val="both"/>
        <w:rPr>
          <w:rFonts w:ascii="Book Antiqua" w:hAnsi="Book Antiqua"/>
        </w:rPr>
      </w:pPr>
      <w:r w:rsidRPr="008F6628">
        <w:rPr>
          <w:rFonts w:ascii="Book Antiqua" w:hAnsi="Book Antiqua"/>
          <w:b/>
        </w:rPr>
        <w:t>“South Bihar Power Distribution Company Limited’’</w:t>
      </w:r>
      <w:r w:rsidRPr="008F6628">
        <w:rPr>
          <w:rFonts w:ascii="Book Antiqua" w:hAnsi="Book Antiqua"/>
        </w:rPr>
        <w:t xml:space="preserve"> or “</w:t>
      </w:r>
      <w:proofErr w:type="spellStart"/>
      <w:r w:rsidRPr="008F6628">
        <w:rPr>
          <w:rFonts w:ascii="Book Antiqua" w:hAnsi="Book Antiqua"/>
        </w:rPr>
        <w:t>SBPDCL</w:t>
      </w:r>
      <w:proofErr w:type="spellEnd"/>
      <w:r w:rsidRPr="008F6628">
        <w:rPr>
          <w:rFonts w:ascii="Book Antiqua" w:hAnsi="Book Antiqua"/>
        </w:rPr>
        <w:t>” and ‘’ North Bihar Power Distribution Company Limited’’ or “</w:t>
      </w:r>
      <w:proofErr w:type="spellStart"/>
      <w:r w:rsidRPr="008F6628">
        <w:rPr>
          <w:rFonts w:ascii="Book Antiqua" w:hAnsi="Book Antiqua"/>
        </w:rPr>
        <w:t>NBPDCL</w:t>
      </w:r>
      <w:proofErr w:type="spellEnd"/>
      <w:r w:rsidRPr="008F6628">
        <w:rPr>
          <w:rFonts w:ascii="Book Antiqua" w:hAnsi="Book Antiqua"/>
        </w:rPr>
        <w:t>” collectively mean the Distribution Companies, to which the Distribution Undertakings of the Board are to be transferred in accordance with this Scheme.</w:t>
      </w:r>
    </w:p>
    <w:p w14:paraId="691277DC" w14:textId="77777777" w:rsidR="009D17E4" w:rsidRDefault="009D17E4" w:rsidP="00324B75">
      <w:pPr>
        <w:rPr>
          <w:lang w:val="en-GB" w:eastAsia="ar-SA"/>
        </w:rPr>
      </w:pPr>
    </w:p>
    <w:p w14:paraId="048D2C16" w14:textId="77777777" w:rsidR="00E507C7" w:rsidRDefault="00E507C7" w:rsidP="00324B75">
      <w:pPr>
        <w:rPr>
          <w:lang w:val="en-GB" w:eastAsia="ar-SA"/>
        </w:rPr>
      </w:pPr>
    </w:p>
    <w:p w14:paraId="36E0F074" w14:textId="77777777" w:rsidR="00E507C7" w:rsidRDefault="00E507C7" w:rsidP="00324B75">
      <w:pPr>
        <w:rPr>
          <w:lang w:val="en-GB" w:eastAsia="ar-SA"/>
        </w:rPr>
      </w:pPr>
    </w:p>
    <w:p w14:paraId="6E756F46" w14:textId="77777777" w:rsidR="00E507C7" w:rsidRDefault="00E507C7" w:rsidP="00324B75">
      <w:pPr>
        <w:rPr>
          <w:lang w:val="en-GB" w:eastAsia="ar-SA"/>
        </w:rPr>
      </w:pPr>
    </w:p>
    <w:p w14:paraId="2A3AC82B" w14:textId="77777777" w:rsidR="00F9450F" w:rsidRDefault="00F9450F" w:rsidP="00324B75">
      <w:pPr>
        <w:rPr>
          <w:lang w:val="en-GB" w:eastAsia="ar-SA"/>
        </w:rPr>
      </w:pPr>
    </w:p>
    <w:p w14:paraId="2C1DD74A" w14:textId="77777777" w:rsidR="00662388" w:rsidRDefault="00662388" w:rsidP="00D5467E">
      <w:pPr>
        <w:ind w:right="26"/>
      </w:pPr>
    </w:p>
    <w:p w14:paraId="0FD8F82B" w14:textId="77777777" w:rsidR="0033317D" w:rsidRDefault="0033317D" w:rsidP="0033317D">
      <w:pPr>
        <w:pStyle w:val="IntenseQuote"/>
        <w:sectPr w:rsidR="0033317D" w:rsidSect="00F73D1F">
          <w:headerReference w:type="default" r:id="rId10"/>
          <w:footerReference w:type="default" r:id="rId11"/>
          <w:pgSz w:w="11906" w:h="16838"/>
          <w:pgMar w:top="1022" w:right="1440" w:bottom="1440" w:left="1440" w:header="284" w:footer="708" w:gutter="0"/>
          <w:cols w:space="708"/>
          <w:docGrid w:linePitch="360"/>
        </w:sectPr>
      </w:pPr>
    </w:p>
    <w:p w14:paraId="11B54BA3" w14:textId="77777777" w:rsidR="00C84409" w:rsidRPr="00C84409" w:rsidRDefault="00C84409" w:rsidP="00C84409">
      <w:pPr>
        <w:pStyle w:val="Heading1"/>
        <w:rPr>
          <w:sz w:val="30"/>
          <w:szCs w:val="30"/>
        </w:rPr>
      </w:pPr>
      <w:bookmarkStart w:id="2" w:name="_Toc468247894"/>
      <w:bookmarkStart w:id="3" w:name="_Toc498423454"/>
      <w:r w:rsidRPr="00C84409">
        <w:rPr>
          <w:sz w:val="30"/>
          <w:szCs w:val="30"/>
        </w:rPr>
        <w:lastRenderedPageBreak/>
        <w:t xml:space="preserve">Annual Performance Review (APR) for FY 2017-18 and Determination of </w:t>
      </w:r>
      <w:proofErr w:type="spellStart"/>
      <w:r w:rsidRPr="00C84409">
        <w:rPr>
          <w:sz w:val="30"/>
          <w:szCs w:val="30"/>
        </w:rPr>
        <w:t>ARR</w:t>
      </w:r>
      <w:proofErr w:type="spellEnd"/>
      <w:r w:rsidRPr="00C84409">
        <w:rPr>
          <w:sz w:val="30"/>
          <w:szCs w:val="30"/>
        </w:rPr>
        <w:t xml:space="preserve"> &amp; </w:t>
      </w:r>
      <w:proofErr w:type="spellStart"/>
      <w:r w:rsidRPr="00C84409">
        <w:rPr>
          <w:sz w:val="30"/>
          <w:szCs w:val="30"/>
        </w:rPr>
        <w:t>SLDC</w:t>
      </w:r>
      <w:proofErr w:type="spellEnd"/>
      <w:r w:rsidRPr="00C84409">
        <w:rPr>
          <w:sz w:val="30"/>
          <w:szCs w:val="30"/>
        </w:rPr>
        <w:t xml:space="preserve"> Operating charges for FY 2018-1</w:t>
      </w:r>
      <w:bookmarkEnd w:id="2"/>
      <w:r w:rsidRPr="00C84409">
        <w:rPr>
          <w:sz w:val="30"/>
          <w:szCs w:val="30"/>
        </w:rPr>
        <w:t>9</w:t>
      </w:r>
      <w:bookmarkEnd w:id="3"/>
    </w:p>
    <w:p w14:paraId="732360A9" w14:textId="77777777" w:rsidR="00CB42FA" w:rsidRPr="000512AF" w:rsidRDefault="00CB42FA" w:rsidP="00CB42FA"/>
    <w:p w14:paraId="2F40394B" w14:textId="77777777" w:rsidR="00073560" w:rsidRDefault="00073560" w:rsidP="000334DB">
      <w:pPr>
        <w:pStyle w:val="Heading2"/>
        <w:ind w:left="0" w:firstLine="0"/>
      </w:pPr>
      <w:bookmarkStart w:id="4" w:name="_Toc440469086"/>
      <w:bookmarkStart w:id="5" w:name="_Toc498423455"/>
      <w:r>
        <w:t>Constituti</w:t>
      </w:r>
      <w:r w:rsidR="000334DB">
        <w:t>on of State Load Despatch Centre</w:t>
      </w:r>
      <w:bookmarkStart w:id="6" w:name="_Toc440469088"/>
      <w:bookmarkStart w:id="7" w:name="_Toc440633416"/>
      <w:bookmarkEnd w:id="4"/>
      <w:bookmarkEnd w:id="5"/>
    </w:p>
    <w:p w14:paraId="4DE2BC80" w14:textId="77777777" w:rsidR="000334DB" w:rsidRDefault="000334DB" w:rsidP="000334DB">
      <w:r>
        <w:t>Section 31 of the Electricity Act, 2003, provides for constitution of State Load Despatch Centre (</w:t>
      </w:r>
      <w:proofErr w:type="spellStart"/>
      <w:r>
        <w:t>SLDC</w:t>
      </w:r>
      <w:proofErr w:type="spellEnd"/>
      <w:r>
        <w:t>):</w:t>
      </w:r>
    </w:p>
    <w:p w14:paraId="0E665491" w14:textId="77777777" w:rsidR="000334DB" w:rsidRDefault="000334DB" w:rsidP="000334DB"/>
    <w:p w14:paraId="06C6FEE5" w14:textId="77777777" w:rsidR="000334DB" w:rsidRPr="007A55B1" w:rsidRDefault="007A55B1" w:rsidP="000334DB">
      <w:pPr>
        <w:rPr>
          <w:i/>
        </w:rPr>
      </w:pPr>
      <w:r>
        <w:rPr>
          <w:i/>
        </w:rPr>
        <w:t>“</w:t>
      </w:r>
      <w:r w:rsidR="000334DB" w:rsidRPr="007A55B1">
        <w:rPr>
          <w:i/>
        </w:rPr>
        <w:t>31. (1) The State Government shall establish a Centre to be known as the State Load Despatch Centre for the purposes of exercising the powers and discharging the functions under this Part.</w:t>
      </w:r>
    </w:p>
    <w:p w14:paraId="1B2D3DDB" w14:textId="77777777" w:rsidR="007A55B1" w:rsidRPr="007A55B1" w:rsidRDefault="000334DB" w:rsidP="000334DB">
      <w:pPr>
        <w:rPr>
          <w:i/>
        </w:rPr>
      </w:pPr>
      <w:r w:rsidRPr="007A55B1">
        <w:rPr>
          <w:i/>
        </w:rPr>
        <w:t xml:space="preserve">       (2) The State Load Despatch Centre shall be operated by a Government company or any authority or corporation established or constituted by or under any State Act, as may be notified by the State Government.</w:t>
      </w:r>
    </w:p>
    <w:p w14:paraId="31AAC9E9" w14:textId="77777777" w:rsidR="007A55B1" w:rsidRPr="007A55B1" w:rsidRDefault="007A55B1" w:rsidP="007A55B1">
      <w:pPr>
        <w:rPr>
          <w:i/>
        </w:rPr>
      </w:pPr>
    </w:p>
    <w:p w14:paraId="0010B0D6" w14:textId="77777777" w:rsidR="007A55B1" w:rsidRPr="007A55B1" w:rsidRDefault="007A55B1" w:rsidP="007A55B1">
      <w:pPr>
        <w:rPr>
          <w:i/>
        </w:rPr>
      </w:pPr>
      <w:r w:rsidRPr="007A55B1">
        <w:rPr>
          <w:i/>
        </w:rPr>
        <w:t xml:space="preserve">Provided that until a Government company or any authority or corporation is notified by the State Government, the State Transmission Utility shall operate the State Load Despatch Centre: </w:t>
      </w:r>
    </w:p>
    <w:p w14:paraId="1B5CB645" w14:textId="77777777" w:rsidR="007A55B1" w:rsidRPr="007A55B1" w:rsidRDefault="007A55B1" w:rsidP="007A55B1">
      <w:pPr>
        <w:rPr>
          <w:i/>
        </w:rPr>
      </w:pPr>
    </w:p>
    <w:p w14:paraId="4EC93535" w14:textId="77777777" w:rsidR="000334DB" w:rsidRPr="007A55B1" w:rsidRDefault="007A55B1" w:rsidP="007A55B1">
      <w:pPr>
        <w:rPr>
          <w:i/>
        </w:rPr>
      </w:pPr>
      <w:proofErr w:type="gramStart"/>
      <w:r w:rsidRPr="007A55B1">
        <w:rPr>
          <w:i/>
        </w:rPr>
        <w:t>Provided further that no State Load Despatch Centre shall engage in the business of trading in electricity.</w:t>
      </w:r>
      <w:r w:rsidR="00135970">
        <w:rPr>
          <w:i/>
        </w:rPr>
        <w:t>”</w:t>
      </w:r>
      <w:proofErr w:type="gramEnd"/>
      <w:r w:rsidR="000334DB" w:rsidRPr="007A55B1">
        <w:rPr>
          <w:i/>
        </w:rPr>
        <w:tab/>
      </w:r>
    </w:p>
    <w:p w14:paraId="180B05F4" w14:textId="77777777" w:rsidR="00073560" w:rsidRPr="00073560" w:rsidRDefault="00073560" w:rsidP="00073560"/>
    <w:p w14:paraId="79F010FE" w14:textId="77777777" w:rsidR="00CB42FA" w:rsidRDefault="009C44C5" w:rsidP="00CB42FA">
      <w:pPr>
        <w:pStyle w:val="Heading2"/>
        <w:ind w:left="0" w:firstLine="0"/>
      </w:pPr>
      <w:bookmarkStart w:id="8" w:name="_Toc498423456"/>
      <w:bookmarkEnd w:id="6"/>
      <w:bookmarkEnd w:id="7"/>
      <w:r>
        <w:t>Functions of State Load Despatch Centre</w:t>
      </w:r>
      <w:bookmarkEnd w:id="8"/>
    </w:p>
    <w:p w14:paraId="09C8D8B0" w14:textId="77777777" w:rsidR="005743CC" w:rsidRDefault="005743CC" w:rsidP="00CB42FA"/>
    <w:p w14:paraId="792D8784" w14:textId="1FE8FA53" w:rsidR="00CB42FA" w:rsidRDefault="00F764D7" w:rsidP="00CB42FA">
      <w:r>
        <w:t xml:space="preserve">The functions of </w:t>
      </w:r>
      <w:proofErr w:type="spellStart"/>
      <w:r>
        <w:t>SLDC</w:t>
      </w:r>
      <w:proofErr w:type="spellEnd"/>
      <w:r>
        <w:t xml:space="preserve"> as envisaged in the Electricity Act, 2003, </w:t>
      </w:r>
      <w:r w:rsidR="0045511F">
        <w:t xml:space="preserve">are </w:t>
      </w:r>
      <w:r>
        <w:t>a</w:t>
      </w:r>
      <w:r w:rsidR="00CB42FA">
        <w:t>s under:</w:t>
      </w:r>
    </w:p>
    <w:p w14:paraId="62B4B9E7" w14:textId="77777777" w:rsidR="0076156B" w:rsidRDefault="0076156B" w:rsidP="00CB42FA"/>
    <w:p w14:paraId="4A4CC2EF" w14:textId="77777777" w:rsidR="0076156B" w:rsidRPr="00E52C90" w:rsidRDefault="00E52C90" w:rsidP="0076156B">
      <w:pPr>
        <w:rPr>
          <w:i/>
        </w:rPr>
      </w:pPr>
      <w:r>
        <w:rPr>
          <w:i/>
        </w:rPr>
        <w:t>“</w:t>
      </w:r>
      <w:r w:rsidR="0076156B" w:rsidRPr="00E52C90">
        <w:rPr>
          <w:i/>
        </w:rPr>
        <w:t>32. (1) The State Load Despatch Centre shall be the apex body to ensure integrated operation of the power system in a State.</w:t>
      </w:r>
    </w:p>
    <w:p w14:paraId="7DDF39DD" w14:textId="77777777" w:rsidR="0076156B" w:rsidRPr="00E52C90" w:rsidRDefault="0076156B" w:rsidP="0076156B">
      <w:pPr>
        <w:rPr>
          <w:i/>
        </w:rPr>
      </w:pPr>
    </w:p>
    <w:p w14:paraId="77BBDAD4" w14:textId="77777777" w:rsidR="0076156B" w:rsidRPr="00E52C90" w:rsidRDefault="0076156B" w:rsidP="0076156B">
      <w:pPr>
        <w:rPr>
          <w:i/>
        </w:rPr>
      </w:pPr>
      <w:r w:rsidRPr="00E52C90">
        <w:rPr>
          <w:i/>
        </w:rPr>
        <w:t>(2) The State Load Despatch Centre shall -</w:t>
      </w:r>
    </w:p>
    <w:p w14:paraId="7CC6E77B" w14:textId="77777777" w:rsidR="0076156B" w:rsidRPr="00E52C90" w:rsidRDefault="0076156B" w:rsidP="0076156B">
      <w:pPr>
        <w:rPr>
          <w:i/>
        </w:rPr>
      </w:pPr>
    </w:p>
    <w:p w14:paraId="75AB4C3F" w14:textId="77777777" w:rsidR="0076156B" w:rsidRPr="00E52C90" w:rsidRDefault="0076156B" w:rsidP="0076156B">
      <w:pPr>
        <w:rPr>
          <w:i/>
        </w:rPr>
      </w:pPr>
      <w:r w:rsidRPr="00E52C90">
        <w:rPr>
          <w:i/>
        </w:rPr>
        <w:t>(a) be responsible for optimum scheduling and despatch of electricity within a State, in accordance with the contracts entered into with the licensees or the generating companies operating in that State;</w:t>
      </w:r>
    </w:p>
    <w:p w14:paraId="479902C0" w14:textId="77777777" w:rsidR="0076156B" w:rsidRPr="00E52C90" w:rsidRDefault="0076156B" w:rsidP="0076156B">
      <w:pPr>
        <w:rPr>
          <w:i/>
        </w:rPr>
      </w:pPr>
      <w:r w:rsidRPr="00E52C90">
        <w:rPr>
          <w:i/>
        </w:rPr>
        <w:lastRenderedPageBreak/>
        <w:t xml:space="preserve">(b) </w:t>
      </w:r>
      <w:proofErr w:type="gramStart"/>
      <w:r w:rsidRPr="00E52C90">
        <w:rPr>
          <w:i/>
        </w:rPr>
        <w:t>monitor</w:t>
      </w:r>
      <w:proofErr w:type="gramEnd"/>
      <w:r w:rsidRPr="00E52C90">
        <w:rPr>
          <w:i/>
        </w:rPr>
        <w:t xml:space="preserve"> grid operations;</w:t>
      </w:r>
    </w:p>
    <w:p w14:paraId="540B4EF3" w14:textId="77777777" w:rsidR="0076156B" w:rsidRPr="00E52C90" w:rsidRDefault="0076156B" w:rsidP="0076156B">
      <w:pPr>
        <w:rPr>
          <w:i/>
        </w:rPr>
      </w:pPr>
      <w:r w:rsidRPr="00E52C90">
        <w:rPr>
          <w:i/>
        </w:rPr>
        <w:t xml:space="preserve">(c) </w:t>
      </w:r>
      <w:proofErr w:type="gramStart"/>
      <w:r w:rsidRPr="00E52C90">
        <w:rPr>
          <w:i/>
        </w:rPr>
        <w:t>keep</w:t>
      </w:r>
      <w:proofErr w:type="gramEnd"/>
      <w:r w:rsidRPr="00E52C90">
        <w:rPr>
          <w:i/>
        </w:rPr>
        <w:t xml:space="preserve"> accounts of the quantity of electricity transmitted through the State grid;</w:t>
      </w:r>
    </w:p>
    <w:p w14:paraId="50E099E4" w14:textId="77777777" w:rsidR="0076156B" w:rsidRPr="00E52C90" w:rsidRDefault="0076156B" w:rsidP="0076156B">
      <w:pPr>
        <w:rPr>
          <w:i/>
        </w:rPr>
      </w:pPr>
      <w:r w:rsidRPr="00E52C90">
        <w:rPr>
          <w:i/>
        </w:rPr>
        <w:t xml:space="preserve">(d) </w:t>
      </w:r>
      <w:proofErr w:type="gramStart"/>
      <w:r w:rsidRPr="00E52C90">
        <w:rPr>
          <w:i/>
        </w:rPr>
        <w:t>exercise</w:t>
      </w:r>
      <w:proofErr w:type="gramEnd"/>
      <w:r w:rsidRPr="00E52C90">
        <w:rPr>
          <w:i/>
        </w:rPr>
        <w:t xml:space="preserve"> supervision and control over the intra-state transmission system; and</w:t>
      </w:r>
    </w:p>
    <w:p w14:paraId="537CA2F5" w14:textId="77777777" w:rsidR="0076156B" w:rsidRPr="00E52C90" w:rsidRDefault="0076156B" w:rsidP="0076156B">
      <w:pPr>
        <w:rPr>
          <w:i/>
        </w:rPr>
      </w:pPr>
      <w:r w:rsidRPr="00E52C90">
        <w:rPr>
          <w:i/>
        </w:rPr>
        <w:t>(e) be responsible for carrying out real time operations for grid control and despatch of electricity within the State through secure and economic operation of the State grid in accordance with the Grid Standards and the State Grid Code.</w:t>
      </w:r>
    </w:p>
    <w:p w14:paraId="6F8476C1" w14:textId="77777777" w:rsidR="0076156B" w:rsidRPr="00E52C90" w:rsidRDefault="0076156B" w:rsidP="0076156B">
      <w:pPr>
        <w:rPr>
          <w:i/>
        </w:rPr>
      </w:pPr>
    </w:p>
    <w:p w14:paraId="47CCBD94" w14:textId="77777777" w:rsidR="0076156B" w:rsidRPr="00E52C90" w:rsidRDefault="0076156B" w:rsidP="0076156B">
      <w:pPr>
        <w:rPr>
          <w:i/>
        </w:rPr>
      </w:pPr>
      <w:r w:rsidRPr="00E52C90">
        <w:rPr>
          <w:i/>
        </w:rPr>
        <w:t>(3) The State Load Despatch Centre may levy and collect such fee and charges from the generating companies and licensees engaged in intra-State transmission of electricity as may be specified by the State Commission.</w:t>
      </w:r>
      <w:r w:rsidR="00E52C90">
        <w:rPr>
          <w:i/>
        </w:rPr>
        <w:t>”</w:t>
      </w:r>
    </w:p>
    <w:p w14:paraId="1491AD29" w14:textId="77777777" w:rsidR="00CB42FA" w:rsidRDefault="00CB42FA" w:rsidP="00CB42FA"/>
    <w:p w14:paraId="33ACC1EE" w14:textId="77777777" w:rsidR="00CB42FA" w:rsidRPr="00340055" w:rsidRDefault="00CB42FA" w:rsidP="00CB42FA">
      <w:pPr>
        <w:pStyle w:val="Heading2"/>
        <w:ind w:left="0" w:firstLine="0"/>
        <w:rPr>
          <w:sz w:val="24"/>
        </w:rPr>
      </w:pPr>
      <w:bookmarkStart w:id="9" w:name="_Toc440469089"/>
      <w:bookmarkStart w:id="10" w:name="_Toc440633417"/>
      <w:bookmarkStart w:id="11" w:name="_Toc498423457"/>
      <w:proofErr w:type="spellStart"/>
      <w:r w:rsidRPr="00340055">
        <w:t>SLDC</w:t>
      </w:r>
      <w:proofErr w:type="spellEnd"/>
      <w:r w:rsidRPr="00340055">
        <w:t xml:space="preserve"> Charges</w:t>
      </w:r>
      <w:bookmarkEnd w:id="9"/>
      <w:bookmarkEnd w:id="10"/>
      <w:bookmarkEnd w:id="11"/>
    </w:p>
    <w:p w14:paraId="05989E9B" w14:textId="5FB2B67E" w:rsidR="00CB42FA" w:rsidRDefault="000F0153" w:rsidP="00A27C5E">
      <w:r w:rsidRPr="00340055">
        <w:t xml:space="preserve">The Petitioner submits that the assets of </w:t>
      </w:r>
      <w:proofErr w:type="spellStart"/>
      <w:r w:rsidRPr="00340055">
        <w:t>SLDC</w:t>
      </w:r>
      <w:proofErr w:type="spellEnd"/>
      <w:r w:rsidRPr="00340055">
        <w:t xml:space="preserve"> are not owned by </w:t>
      </w:r>
      <w:proofErr w:type="spellStart"/>
      <w:r w:rsidRPr="00340055">
        <w:t>BSPTCL</w:t>
      </w:r>
      <w:proofErr w:type="spellEnd"/>
      <w:r w:rsidRPr="00340055">
        <w:t xml:space="preserve">. The same are owned by </w:t>
      </w:r>
      <w:proofErr w:type="spellStart"/>
      <w:r w:rsidRPr="00340055">
        <w:t>PGCIL</w:t>
      </w:r>
      <w:proofErr w:type="spellEnd"/>
      <w:r w:rsidRPr="00340055">
        <w:t xml:space="preserve"> who recovers cost through tariff charged to the Distribution Companies namely</w:t>
      </w:r>
      <w:r w:rsidR="00F92D71" w:rsidRPr="00340055">
        <w:t>,</w:t>
      </w:r>
      <w:r w:rsidRPr="00340055">
        <w:t xml:space="preserve"> South Bihar Distribution Company Private Limited and North Bihar Distribution Company Private Limited.</w:t>
      </w:r>
      <w:r w:rsidR="00F92D71" w:rsidRPr="00340055">
        <w:t xml:space="preserve"> The supporting documents </w:t>
      </w:r>
      <w:r w:rsidR="000261A5" w:rsidRPr="00340055">
        <w:t xml:space="preserve">i.e. the Minutes of the Meeting of </w:t>
      </w:r>
      <w:proofErr w:type="spellStart"/>
      <w:r w:rsidR="000261A5" w:rsidRPr="00340055">
        <w:t>ERPC</w:t>
      </w:r>
      <w:proofErr w:type="spellEnd"/>
      <w:r w:rsidR="000261A5" w:rsidRPr="00340055">
        <w:t xml:space="preserve"> meeting where it was decided that the </w:t>
      </w:r>
      <w:proofErr w:type="spellStart"/>
      <w:r w:rsidR="000261A5" w:rsidRPr="00340055">
        <w:t>SLDC</w:t>
      </w:r>
      <w:proofErr w:type="spellEnd"/>
      <w:r w:rsidR="000261A5" w:rsidRPr="00340055">
        <w:t xml:space="preserve"> as</w:t>
      </w:r>
      <w:r w:rsidR="00340055">
        <w:t xml:space="preserve">sets will be created by </w:t>
      </w:r>
      <w:proofErr w:type="spellStart"/>
      <w:r w:rsidR="00340055">
        <w:t>PGC</w:t>
      </w:r>
      <w:r w:rsidR="000A0B1D">
        <w:t>I</w:t>
      </w:r>
      <w:r w:rsidR="00340055">
        <w:t>L</w:t>
      </w:r>
      <w:proofErr w:type="spellEnd"/>
      <w:r w:rsidR="00340055">
        <w:t xml:space="preserve"> had</w:t>
      </w:r>
      <w:r w:rsidR="000261A5" w:rsidRPr="00340055">
        <w:t xml:space="preserve"> </w:t>
      </w:r>
      <w:r w:rsidR="00340055">
        <w:t xml:space="preserve">already </w:t>
      </w:r>
      <w:r w:rsidR="000261A5" w:rsidRPr="00340055">
        <w:t>been</w:t>
      </w:r>
      <w:r w:rsidR="00F92D71" w:rsidRPr="00340055">
        <w:t xml:space="preserve"> </w:t>
      </w:r>
      <w:r w:rsidR="00340055">
        <w:t>submitted to the</w:t>
      </w:r>
      <w:r w:rsidR="000C2FBD">
        <w:t xml:space="preserve"> Hon’ble</w:t>
      </w:r>
      <w:r w:rsidR="00340055">
        <w:t xml:space="preserve"> Commission with the Tariff Petition for FY 2017-18 dated 30 November, 2016</w:t>
      </w:r>
      <w:r w:rsidR="00F92D71">
        <w:t>.</w:t>
      </w:r>
    </w:p>
    <w:p w14:paraId="4B095D4D" w14:textId="77777777" w:rsidR="00965D3D" w:rsidRDefault="00965D3D" w:rsidP="00A27C5E"/>
    <w:p w14:paraId="414D2744" w14:textId="77777777" w:rsidR="00965D3D" w:rsidRDefault="00965D3D" w:rsidP="00A27C5E">
      <w:r>
        <w:t xml:space="preserve">However, </w:t>
      </w:r>
      <w:proofErr w:type="gramStart"/>
      <w:r>
        <w:t xml:space="preserve">day-to-day operations of </w:t>
      </w:r>
      <w:proofErr w:type="spellStart"/>
      <w:r>
        <w:t>SLDC</w:t>
      </w:r>
      <w:proofErr w:type="spellEnd"/>
      <w:r>
        <w:t xml:space="preserve"> is</w:t>
      </w:r>
      <w:proofErr w:type="gramEnd"/>
      <w:r>
        <w:t xml:space="preserve"> manag</w:t>
      </w:r>
      <w:r w:rsidR="00191D56">
        <w:t xml:space="preserve">ed by </w:t>
      </w:r>
      <w:proofErr w:type="spellStart"/>
      <w:r w:rsidR="00191D56">
        <w:t>BSPTCL</w:t>
      </w:r>
      <w:proofErr w:type="spellEnd"/>
      <w:r w:rsidR="00191D56">
        <w:t xml:space="preserve"> and for the same </w:t>
      </w:r>
      <w:r>
        <w:t>separate accounts is being maintained too.</w:t>
      </w:r>
      <w:r w:rsidR="00191D56">
        <w:t xml:space="preserve"> Therefore, in view of the facts explained above and Provision of Section 31 (1), (2) &amp; 1</w:t>
      </w:r>
      <w:r w:rsidR="00191D56" w:rsidRPr="00191D56">
        <w:rPr>
          <w:vertAlign w:val="superscript"/>
        </w:rPr>
        <w:t>st</w:t>
      </w:r>
      <w:r w:rsidR="00191D56">
        <w:t xml:space="preserve"> Proviso of Section 31(2) of the Electricity Act, 2003, </w:t>
      </w:r>
      <w:proofErr w:type="gramStart"/>
      <w:r w:rsidR="00191D56">
        <w:t xml:space="preserve">operations of </w:t>
      </w:r>
      <w:proofErr w:type="spellStart"/>
      <w:r w:rsidR="00191D56">
        <w:t>SLDC</w:t>
      </w:r>
      <w:proofErr w:type="spellEnd"/>
      <w:r w:rsidR="00191D56">
        <w:t xml:space="preserve"> is</w:t>
      </w:r>
      <w:proofErr w:type="gramEnd"/>
      <w:r w:rsidR="00191D56">
        <w:t xml:space="preserve"> just and proper. A separate Petition for determining Aggregate Revenue Requirement</w:t>
      </w:r>
      <w:r w:rsidR="00D2115A">
        <w:t xml:space="preserve"> </w:t>
      </w:r>
      <w:r w:rsidR="00191D56">
        <w:t xml:space="preserve">is being based on expenses incurred in </w:t>
      </w:r>
      <w:proofErr w:type="spellStart"/>
      <w:r w:rsidR="00191D56">
        <w:t>operationalisation</w:t>
      </w:r>
      <w:proofErr w:type="spellEnd"/>
      <w:r w:rsidR="00191D56">
        <w:t xml:space="preserve"> of </w:t>
      </w:r>
      <w:proofErr w:type="spellStart"/>
      <w:r w:rsidR="00191D56">
        <w:t>SLDC</w:t>
      </w:r>
      <w:proofErr w:type="spellEnd"/>
      <w:r w:rsidR="00191D56">
        <w:t>.</w:t>
      </w:r>
    </w:p>
    <w:p w14:paraId="47E842CE" w14:textId="77777777" w:rsidR="00CB42FA" w:rsidRDefault="00CB42FA" w:rsidP="00CB42FA"/>
    <w:p w14:paraId="3457B047" w14:textId="77777777" w:rsidR="00811B2D" w:rsidRDefault="00811B2D" w:rsidP="00CB42FA">
      <w:pPr>
        <w:pStyle w:val="Heading2"/>
        <w:ind w:left="0" w:firstLine="0"/>
      </w:pPr>
      <w:bookmarkStart w:id="12" w:name="_Toc498423458"/>
      <w:bookmarkStart w:id="13" w:name="_Toc440469101"/>
      <w:bookmarkStart w:id="14" w:name="_Toc440633429"/>
      <w:r>
        <w:t>Operation &amp; Maintenance Expenses</w:t>
      </w:r>
      <w:bookmarkEnd w:id="12"/>
    </w:p>
    <w:p w14:paraId="23126CA9" w14:textId="49C2575A" w:rsidR="00811B2D" w:rsidRDefault="00FB009A" w:rsidP="00811B2D">
      <w:r>
        <w:t xml:space="preserve">As the strengthening of the </w:t>
      </w:r>
      <w:proofErr w:type="spellStart"/>
      <w:r>
        <w:t>SLDC</w:t>
      </w:r>
      <w:proofErr w:type="spellEnd"/>
      <w:r>
        <w:t xml:space="preserve"> is taking place</w:t>
      </w:r>
      <w:r w:rsidR="00B26C03">
        <w:t>,</w:t>
      </w:r>
      <w:r>
        <w:t xml:space="preserve"> </w:t>
      </w:r>
      <w:r w:rsidR="00C22491">
        <w:t xml:space="preserve">no. of employees has been increased in </w:t>
      </w:r>
      <w:proofErr w:type="spellStart"/>
      <w:proofErr w:type="gramStart"/>
      <w:r w:rsidR="00C22491">
        <w:t>SLDC</w:t>
      </w:r>
      <w:proofErr w:type="spellEnd"/>
      <w:r w:rsidR="00C22491">
        <w:t>,</w:t>
      </w:r>
      <w:proofErr w:type="gramEnd"/>
      <w:r w:rsidR="00C22491">
        <w:t xml:space="preserve"> as a result </w:t>
      </w:r>
      <w:proofErr w:type="spellStart"/>
      <w:r>
        <w:t>O&amp;M</w:t>
      </w:r>
      <w:proofErr w:type="spellEnd"/>
      <w:r>
        <w:t xml:space="preserve"> for </w:t>
      </w:r>
      <w:proofErr w:type="spellStart"/>
      <w:r>
        <w:t>SLDC</w:t>
      </w:r>
      <w:proofErr w:type="spellEnd"/>
      <w:r>
        <w:t xml:space="preserve"> </w:t>
      </w:r>
      <w:r w:rsidR="00C22491">
        <w:t>has</w:t>
      </w:r>
      <w:r>
        <w:t xml:space="preserve"> increas</w:t>
      </w:r>
      <w:r w:rsidR="00C22491">
        <w:t>ed</w:t>
      </w:r>
      <w:r>
        <w:t xml:space="preserve">. Therefore, for accurate projection the Petitioner </w:t>
      </w:r>
      <w:r w:rsidR="00C22491">
        <w:t xml:space="preserve">has </w:t>
      </w:r>
      <w:r>
        <w:t>mostly relied upon the actual six months data from April, 2017 to September, 2017.</w:t>
      </w:r>
    </w:p>
    <w:p w14:paraId="12657C41" w14:textId="77777777" w:rsidR="006C0256" w:rsidRDefault="006C0256" w:rsidP="00811B2D"/>
    <w:p w14:paraId="28A7F37F" w14:textId="77777777" w:rsidR="006C0256" w:rsidRDefault="006C0256" w:rsidP="00811B2D"/>
    <w:p w14:paraId="4E351066" w14:textId="77777777" w:rsidR="006C0256" w:rsidRDefault="006C0256" w:rsidP="00811B2D"/>
    <w:p w14:paraId="14DF5335" w14:textId="77777777" w:rsidR="005F6D80" w:rsidRDefault="005F6D80" w:rsidP="005F6D80">
      <w:pPr>
        <w:pStyle w:val="Heading3"/>
      </w:pPr>
      <w:bookmarkStart w:id="15" w:name="_Toc498423459"/>
      <w:r>
        <w:t>Employee Expenses</w:t>
      </w:r>
      <w:bookmarkEnd w:id="15"/>
    </w:p>
    <w:p w14:paraId="5687DA7D" w14:textId="1EDFC92F" w:rsidR="00811B2D" w:rsidRDefault="00811B2D" w:rsidP="00811B2D">
      <w:r w:rsidRPr="00540A33">
        <w:t>The employee expenses primarily include costs towards salaries, dearness allowances, bonus, staff welfare and medical benefits, leave travel and earned leave encashment, and the terminal benefits in the form of pension, gratuity etc.</w:t>
      </w:r>
    </w:p>
    <w:p w14:paraId="0A35D802" w14:textId="0B409D33" w:rsidR="00771019" w:rsidRDefault="00771019" w:rsidP="00811B2D"/>
    <w:p w14:paraId="69BCBA99" w14:textId="6A67D860" w:rsidR="00260DF1" w:rsidRDefault="00771019" w:rsidP="00260DF1">
      <w:r>
        <w:t xml:space="preserve">The Commission in its Tariff Order for FY 2017-18 dated 9 March, 2017, </w:t>
      </w:r>
      <w:r w:rsidR="00260DF1">
        <w:t>considered</w:t>
      </w:r>
      <w:r w:rsidRPr="00CA386D">
        <w:t xml:space="preserve"> the inflationary indexation methodology for</w:t>
      </w:r>
      <w:r>
        <w:t xml:space="preserve"> </w:t>
      </w:r>
      <w:r w:rsidRPr="00CA386D">
        <w:t xml:space="preserve">projecting employee cost of </w:t>
      </w:r>
      <w:r w:rsidR="00260DF1">
        <w:t>the Petitioner</w:t>
      </w:r>
      <w:r w:rsidRPr="00CA386D">
        <w:t xml:space="preserve"> for FY 2016-17</w:t>
      </w:r>
      <w:r w:rsidR="00260DF1">
        <w:t xml:space="preserve"> </w:t>
      </w:r>
      <w:r w:rsidRPr="00CA386D">
        <w:t>and FY 2017-18.</w:t>
      </w:r>
      <w:r>
        <w:t xml:space="preserve"> </w:t>
      </w:r>
      <w:r w:rsidR="00260DF1">
        <w:t>The Petitioner adopted the same methodology f</w:t>
      </w:r>
      <w:r w:rsidR="00260DF1" w:rsidRPr="006D41B6">
        <w:t>or projecti</w:t>
      </w:r>
      <w:r w:rsidR="00260DF1">
        <w:t xml:space="preserve">ng employee expenses for FY 2017-18 (Oct., 2017 to March 2018) and FY 2018-19. </w:t>
      </w:r>
    </w:p>
    <w:p w14:paraId="48DB5431" w14:textId="249A7810" w:rsidR="00771019" w:rsidRPr="00540A33" w:rsidRDefault="00771019" w:rsidP="00771019"/>
    <w:p w14:paraId="56D90632" w14:textId="77777777" w:rsidR="00DC6FB4" w:rsidRDefault="00DC6FB4" w:rsidP="00811B2D">
      <w:r>
        <w:t xml:space="preserve">The computation for indexation based on CPI and </w:t>
      </w:r>
      <w:proofErr w:type="spellStart"/>
      <w:r>
        <w:t>WPI</w:t>
      </w:r>
      <w:proofErr w:type="spellEnd"/>
      <w:r>
        <w:t xml:space="preserve"> is shown in the Table below:</w:t>
      </w:r>
    </w:p>
    <w:p w14:paraId="5ECF9B0E" w14:textId="7F01813C" w:rsidR="00B26C03" w:rsidRDefault="00B26C03" w:rsidP="00B26C03">
      <w:pPr>
        <w:pStyle w:val="Caption"/>
        <w:spacing w:after="240"/>
      </w:pPr>
      <w:bookmarkStart w:id="16" w:name="_Toc498423470"/>
      <w:r w:rsidRPr="00C66B01">
        <w:t xml:space="preserve">Table </w:t>
      </w:r>
      <w:fldSimple w:instr=" STYLEREF 1 \s ">
        <w:r w:rsidR="0045624D">
          <w:rPr>
            <w:noProof/>
          </w:rPr>
          <w:t>2</w:t>
        </w:r>
      </w:fldSimple>
      <w:r>
        <w:noBreakHyphen/>
      </w:r>
      <w:fldSimple w:instr=" SEQ Table \* ARABIC \s 1 ">
        <w:r w:rsidR="0045624D">
          <w:rPr>
            <w:noProof/>
          </w:rPr>
          <w:t>1</w:t>
        </w:r>
      </w:fldSimple>
      <w:r>
        <w:t>:</w:t>
      </w:r>
      <w:r w:rsidRPr="00C66B01">
        <w:t xml:space="preserve"> </w:t>
      </w:r>
      <w:r>
        <w:t xml:space="preserve">Computation for indexation based on CPI and </w:t>
      </w:r>
      <w:proofErr w:type="spellStart"/>
      <w:r>
        <w:t>WPI</w:t>
      </w:r>
      <w:bookmarkEnd w:id="16"/>
      <w:proofErr w:type="spellEnd"/>
    </w:p>
    <w:tbl>
      <w:tblPr>
        <w:tblW w:w="7549" w:type="dxa"/>
        <w:tblLook w:val="04A0" w:firstRow="1" w:lastRow="0" w:firstColumn="1" w:lastColumn="0" w:noHBand="0" w:noVBand="1"/>
      </w:tblPr>
      <w:tblGrid>
        <w:gridCol w:w="4390"/>
        <w:gridCol w:w="1053"/>
        <w:gridCol w:w="1053"/>
        <w:gridCol w:w="1053"/>
      </w:tblGrid>
      <w:tr w:rsidR="00DC6FB4" w:rsidRPr="00DC6FB4" w14:paraId="57D130A4" w14:textId="77777777" w:rsidTr="000E6284">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5D7C61B1" w14:textId="77777777" w:rsidR="00DC6FB4" w:rsidRPr="00DC6FB4" w:rsidRDefault="00DC6FB4" w:rsidP="00DC6FB4">
            <w:pPr>
              <w:spacing w:line="240" w:lineRule="auto"/>
              <w:jc w:val="left"/>
              <w:rPr>
                <w:rFonts w:eastAsia="Times New Roman" w:cs="Calibri"/>
                <w:b/>
                <w:color w:val="000000"/>
                <w:sz w:val="22"/>
                <w:lang w:val="en-GB" w:eastAsia="en-GB"/>
              </w:rPr>
            </w:pPr>
            <w:r w:rsidRPr="00DC6FB4">
              <w:rPr>
                <w:rFonts w:eastAsia="Times New Roman" w:cs="Calibri"/>
                <w:b/>
                <w:color w:val="000000"/>
                <w:sz w:val="22"/>
                <w:lang w:val="en-GB" w:eastAsia="en-GB"/>
              </w:rPr>
              <w:t>Particulars</w:t>
            </w:r>
          </w:p>
        </w:tc>
        <w:tc>
          <w:tcPr>
            <w:tcW w:w="1053"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07BCBBF0" w14:textId="77777777" w:rsidR="00DC6FB4" w:rsidRPr="00DC6FB4" w:rsidRDefault="00DC6FB4" w:rsidP="00DC6FB4">
            <w:pPr>
              <w:spacing w:line="240" w:lineRule="auto"/>
              <w:jc w:val="left"/>
              <w:rPr>
                <w:rFonts w:eastAsia="Times New Roman" w:cs="Calibri"/>
                <w:b/>
                <w:color w:val="000000"/>
                <w:sz w:val="22"/>
                <w:lang w:val="en-GB" w:eastAsia="en-GB"/>
              </w:rPr>
            </w:pPr>
            <w:proofErr w:type="spellStart"/>
            <w:r w:rsidRPr="00DC6FB4">
              <w:rPr>
                <w:rFonts w:eastAsia="Times New Roman" w:cs="Calibri"/>
                <w:b/>
                <w:color w:val="000000"/>
                <w:sz w:val="22"/>
                <w:lang w:val="en-GB" w:eastAsia="en-GB"/>
              </w:rPr>
              <w:t>WPI</w:t>
            </w:r>
            <w:proofErr w:type="spellEnd"/>
          </w:p>
        </w:tc>
        <w:tc>
          <w:tcPr>
            <w:tcW w:w="1053"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6E82AA98" w14:textId="77777777" w:rsidR="00DC6FB4" w:rsidRPr="00DC6FB4" w:rsidRDefault="00DC6FB4" w:rsidP="00DC6FB4">
            <w:pPr>
              <w:spacing w:line="240" w:lineRule="auto"/>
              <w:jc w:val="left"/>
              <w:rPr>
                <w:rFonts w:eastAsia="Times New Roman" w:cs="Calibri"/>
                <w:b/>
                <w:color w:val="000000"/>
                <w:sz w:val="22"/>
                <w:lang w:val="en-GB" w:eastAsia="en-GB"/>
              </w:rPr>
            </w:pPr>
            <w:r w:rsidRPr="00DC6FB4">
              <w:rPr>
                <w:rFonts w:eastAsia="Times New Roman" w:cs="Calibri"/>
                <w:b/>
                <w:color w:val="000000"/>
                <w:sz w:val="22"/>
                <w:lang w:val="en-GB" w:eastAsia="en-GB"/>
              </w:rPr>
              <w:t>CPI</w:t>
            </w:r>
          </w:p>
        </w:tc>
        <w:tc>
          <w:tcPr>
            <w:tcW w:w="1053"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25D78334" w14:textId="77777777" w:rsidR="00DC6FB4" w:rsidRPr="00DC6FB4" w:rsidRDefault="00DC6FB4" w:rsidP="00DC6FB4">
            <w:pPr>
              <w:spacing w:line="240" w:lineRule="auto"/>
              <w:jc w:val="left"/>
              <w:rPr>
                <w:rFonts w:eastAsia="Times New Roman" w:cs="Calibri"/>
                <w:b/>
                <w:color w:val="000000"/>
                <w:sz w:val="22"/>
                <w:lang w:val="en-GB" w:eastAsia="en-GB"/>
              </w:rPr>
            </w:pPr>
            <w:r w:rsidRPr="00DC6FB4">
              <w:rPr>
                <w:rFonts w:eastAsia="Times New Roman" w:cs="Calibri"/>
                <w:b/>
                <w:color w:val="000000"/>
                <w:sz w:val="22"/>
                <w:lang w:val="en-GB" w:eastAsia="en-GB"/>
              </w:rPr>
              <w:t>Total</w:t>
            </w:r>
          </w:p>
        </w:tc>
      </w:tr>
      <w:tr w:rsidR="00DC6FB4" w:rsidRPr="00DC6FB4" w14:paraId="0AE8E6FA" w14:textId="77777777" w:rsidTr="000E6284">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F43D9C0"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Weightage</w:t>
            </w:r>
          </w:p>
        </w:tc>
        <w:tc>
          <w:tcPr>
            <w:tcW w:w="1053" w:type="dxa"/>
            <w:tcBorders>
              <w:top w:val="nil"/>
              <w:left w:val="nil"/>
              <w:bottom w:val="single" w:sz="4" w:space="0" w:color="auto"/>
              <w:right w:val="single" w:sz="4" w:space="0" w:color="auto"/>
            </w:tcBorders>
            <w:shd w:val="clear" w:color="auto" w:fill="auto"/>
            <w:noWrap/>
            <w:vAlign w:val="center"/>
            <w:hideMark/>
          </w:tcPr>
          <w:p w14:paraId="390549E1"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0.45</w:t>
            </w:r>
          </w:p>
        </w:tc>
        <w:tc>
          <w:tcPr>
            <w:tcW w:w="1053" w:type="dxa"/>
            <w:tcBorders>
              <w:top w:val="nil"/>
              <w:left w:val="nil"/>
              <w:bottom w:val="single" w:sz="4" w:space="0" w:color="auto"/>
              <w:right w:val="single" w:sz="4" w:space="0" w:color="auto"/>
            </w:tcBorders>
            <w:shd w:val="clear" w:color="auto" w:fill="auto"/>
            <w:noWrap/>
            <w:vAlign w:val="center"/>
            <w:hideMark/>
          </w:tcPr>
          <w:p w14:paraId="1AF0203F"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0.55</w:t>
            </w:r>
          </w:p>
        </w:tc>
        <w:tc>
          <w:tcPr>
            <w:tcW w:w="1053" w:type="dxa"/>
            <w:tcBorders>
              <w:top w:val="nil"/>
              <w:left w:val="nil"/>
              <w:bottom w:val="single" w:sz="4" w:space="0" w:color="auto"/>
              <w:right w:val="single" w:sz="4" w:space="0" w:color="auto"/>
            </w:tcBorders>
            <w:shd w:val="clear" w:color="auto" w:fill="auto"/>
            <w:noWrap/>
            <w:vAlign w:val="center"/>
            <w:hideMark/>
          </w:tcPr>
          <w:p w14:paraId="0911CCC2"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1</w:t>
            </w:r>
          </w:p>
        </w:tc>
      </w:tr>
      <w:tr w:rsidR="00DC6FB4" w:rsidRPr="00DC6FB4" w14:paraId="777FD6A0" w14:textId="77777777" w:rsidTr="000E6284">
        <w:trPr>
          <w:trHeight w:val="327"/>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23F1B6A6" w14:textId="77777777" w:rsidR="00DC6FB4" w:rsidRPr="00DC6FB4" w:rsidRDefault="00DC6FB4" w:rsidP="00DC6FB4">
            <w:pPr>
              <w:spacing w:line="240" w:lineRule="auto"/>
              <w:jc w:val="left"/>
              <w:rPr>
                <w:rFonts w:eastAsia="Times New Roman" w:cs="Calibri"/>
                <w:color w:val="000000"/>
                <w:sz w:val="22"/>
                <w:lang w:val="en-GB" w:eastAsia="en-GB"/>
              </w:rPr>
            </w:pPr>
            <w:r w:rsidRPr="000E6284">
              <w:rPr>
                <w:rFonts w:eastAsia="Times New Roman" w:cs="Calibri"/>
                <w:color w:val="000000"/>
                <w:sz w:val="22"/>
                <w:lang w:val="en-GB" w:eastAsia="en-GB"/>
              </w:rPr>
              <w:t>Index Point fo</w:t>
            </w:r>
            <w:r w:rsidRPr="00DC6FB4">
              <w:rPr>
                <w:rFonts w:eastAsia="Times New Roman" w:cs="Calibri"/>
                <w:color w:val="000000"/>
                <w:sz w:val="22"/>
                <w:lang w:val="en-GB" w:eastAsia="en-GB"/>
              </w:rPr>
              <w:t>r FY 2016-17</w:t>
            </w:r>
          </w:p>
        </w:tc>
        <w:tc>
          <w:tcPr>
            <w:tcW w:w="1053" w:type="dxa"/>
            <w:tcBorders>
              <w:top w:val="nil"/>
              <w:left w:val="nil"/>
              <w:bottom w:val="single" w:sz="4" w:space="0" w:color="auto"/>
              <w:right w:val="single" w:sz="4" w:space="0" w:color="auto"/>
            </w:tcBorders>
            <w:shd w:val="clear" w:color="auto" w:fill="auto"/>
            <w:noWrap/>
            <w:vAlign w:val="center"/>
            <w:hideMark/>
          </w:tcPr>
          <w:p w14:paraId="0AF8D021"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183.16</w:t>
            </w:r>
          </w:p>
        </w:tc>
        <w:tc>
          <w:tcPr>
            <w:tcW w:w="1053" w:type="dxa"/>
            <w:tcBorders>
              <w:top w:val="nil"/>
              <w:left w:val="nil"/>
              <w:bottom w:val="single" w:sz="4" w:space="0" w:color="auto"/>
              <w:right w:val="single" w:sz="4" w:space="0" w:color="auto"/>
            </w:tcBorders>
            <w:shd w:val="clear" w:color="auto" w:fill="auto"/>
            <w:noWrap/>
            <w:vAlign w:val="center"/>
            <w:hideMark/>
          </w:tcPr>
          <w:p w14:paraId="065542F4"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275.92</w:t>
            </w:r>
          </w:p>
        </w:tc>
        <w:tc>
          <w:tcPr>
            <w:tcW w:w="1053" w:type="dxa"/>
            <w:tcBorders>
              <w:top w:val="nil"/>
              <w:left w:val="nil"/>
              <w:bottom w:val="single" w:sz="4" w:space="0" w:color="auto"/>
              <w:right w:val="single" w:sz="4" w:space="0" w:color="auto"/>
            </w:tcBorders>
            <w:shd w:val="clear" w:color="auto" w:fill="auto"/>
            <w:noWrap/>
            <w:vAlign w:val="center"/>
            <w:hideMark/>
          </w:tcPr>
          <w:p w14:paraId="0FF650A0"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 </w:t>
            </w:r>
          </w:p>
        </w:tc>
      </w:tr>
      <w:tr w:rsidR="00DC6FB4" w:rsidRPr="00DC6FB4" w14:paraId="2A394938" w14:textId="77777777" w:rsidTr="000E6284">
        <w:trPr>
          <w:trHeight w:val="261"/>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E59A36B"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Indexation n (Index point*weightage)</w:t>
            </w:r>
          </w:p>
        </w:tc>
        <w:tc>
          <w:tcPr>
            <w:tcW w:w="1053" w:type="dxa"/>
            <w:tcBorders>
              <w:top w:val="nil"/>
              <w:left w:val="nil"/>
              <w:bottom w:val="single" w:sz="4" w:space="0" w:color="auto"/>
              <w:right w:val="single" w:sz="4" w:space="0" w:color="auto"/>
            </w:tcBorders>
            <w:shd w:val="clear" w:color="auto" w:fill="auto"/>
            <w:noWrap/>
            <w:vAlign w:val="center"/>
            <w:hideMark/>
          </w:tcPr>
          <w:p w14:paraId="4FDF4445"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82.42125</w:t>
            </w:r>
          </w:p>
        </w:tc>
        <w:tc>
          <w:tcPr>
            <w:tcW w:w="1053" w:type="dxa"/>
            <w:tcBorders>
              <w:top w:val="nil"/>
              <w:left w:val="nil"/>
              <w:bottom w:val="single" w:sz="4" w:space="0" w:color="auto"/>
              <w:right w:val="single" w:sz="4" w:space="0" w:color="auto"/>
            </w:tcBorders>
            <w:shd w:val="clear" w:color="auto" w:fill="auto"/>
            <w:noWrap/>
            <w:vAlign w:val="center"/>
            <w:hideMark/>
          </w:tcPr>
          <w:p w14:paraId="434AE368"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151.7542</w:t>
            </w:r>
          </w:p>
        </w:tc>
        <w:tc>
          <w:tcPr>
            <w:tcW w:w="1053" w:type="dxa"/>
            <w:tcBorders>
              <w:top w:val="nil"/>
              <w:left w:val="nil"/>
              <w:bottom w:val="single" w:sz="4" w:space="0" w:color="auto"/>
              <w:right w:val="single" w:sz="4" w:space="0" w:color="auto"/>
            </w:tcBorders>
            <w:shd w:val="clear" w:color="auto" w:fill="auto"/>
            <w:noWrap/>
            <w:vAlign w:val="center"/>
            <w:hideMark/>
          </w:tcPr>
          <w:p w14:paraId="2B02EC8B"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234.1754</w:t>
            </w:r>
          </w:p>
        </w:tc>
      </w:tr>
      <w:tr w:rsidR="00DC6FB4" w:rsidRPr="00DC6FB4" w14:paraId="28C853D0" w14:textId="77777777" w:rsidTr="000E6284">
        <w:trPr>
          <w:trHeight w:val="279"/>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2BAB013"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Index Point f</w:t>
            </w:r>
            <w:r w:rsidRPr="000E6284">
              <w:rPr>
                <w:rFonts w:eastAsia="Times New Roman" w:cs="Calibri"/>
                <w:color w:val="000000"/>
                <w:sz w:val="22"/>
                <w:lang w:val="en-GB" w:eastAsia="en-GB"/>
              </w:rPr>
              <w:t>o</w:t>
            </w:r>
            <w:r w:rsidRPr="00DC6FB4">
              <w:rPr>
                <w:rFonts w:eastAsia="Times New Roman" w:cs="Calibri"/>
                <w:color w:val="000000"/>
                <w:sz w:val="22"/>
                <w:lang w:val="en-GB" w:eastAsia="en-GB"/>
              </w:rPr>
              <w:t>r FY 2015-16</w:t>
            </w:r>
          </w:p>
        </w:tc>
        <w:tc>
          <w:tcPr>
            <w:tcW w:w="1053" w:type="dxa"/>
            <w:tcBorders>
              <w:top w:val="nil"/>
              <w:left w:val="nil"/>
              <w:bottom w:val="single" w:sz="4" w:space="0" w:color="auto"/>
              <w:right w:val="single" w:sz="4" w:space="0" w:color="auto"/>
            </w:tcBorders>
            <w:shd w:val="clear" w:color="auto" w:fill="auto"/>
            <w:noWrap/>
            <w:vAlign w:val="center"/>
            <w:hideMark/>
          </w:tcPr>
          <w:p w14:paraId="7F01B4B8"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176.51</w:t>
            </w:r>
          </w:p>
        </w:tc>
        <w:tc>
          <w:tcPr>
            <w:tcW w:w="1053" w:type="dxa"/>
            <w:tcBorders>
              <w:top w:val="nil"/>
              <w:left w:val="nil"/>
              <w:bottom w:val="single" w:sz="4" w:space="0" w:color="auto"/>
              <w:right w:val="single" w:sz="4" w:space="0" w:color="auto"/>
            </w:tcBorders>
            <w:shd w:val="clear" w:color="auto" w:fill="auto"/>
            <w:noWrap/>
            <w:vAlign w:val="center"/>
            <w:hideMark/>
          </w:tcPr>
          <w:p w14:paraId="7F7F05BA"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265.01</w:t>
            </w:r>
          </w:p>
        </w:tc>
        <w:tc>
          <w:tcPr>
            <w:tcW w:w="1053" w:type="dxa"/>
            <w:tcBorders>
              <w:top w:val="nil"/>
              <w:left w:val="nil"/>
              <w:bottom w:val="single" w:sz="4" w:space="0" w:color="auto"/>
              <w:right w:val="single" w:sz="4" w:space="0" w:color="auto"/>
            </w:tcBorders>
            <w:shd w:val="clear" w:color="auto" w:fill="auto"/>
            <w:noWrap/>
            <w:vAlign w:val="center"/>
            <w:hideMark/>
          </w:tcPr>
          <w:p w14:paraId="470BBFC2"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 </w:t>
            </w:r>
          </w:p>
        </w:tc>
      </w:tr>
      <w:tr w:rsidR="00DC6FB4" w:rsidRPr="00DC6FB4" w14:paraId="2B128D62" w14:textId="77777777" w:rsidTr="000E6284">
        <w:trPr>
          <w:trHeight w:val="255"/>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28442057"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Indexation n</w:t>
            </w:r>
            <w:r w:rsidR="000E6284" w:rsidRPr="000E6284">
              <w:rPr>
                <w:rFonts w:eastAsia="Times New Roman" w:cs="Calibri"/>
                <w:color w:val="000000"/>
                <w:sz w:val="22"/>
                <w:lang w:val="en-GB" w:eastAsia="en-GB"/>
              </w:rPr>
              <w:t>-</w:t>
            </w:r>
            <w:proofErr w:type="spellStart"/>
            <w:r w:rsidR="000E6284" w:rsidRPr="000E6284">
              <w:rPr>
                <w:rFonts w:eastAsia="Times New Roman" w:cs="Calibri"/>
                <w:color w:val="000000"/>
                <w:sz w:val="22"/>
                <w:lang w:val="en-GB" w:eastAsia="en-GB"/>
              </w:rPr>
              <w:t>i</w:t>
            </w:r>
            <w:proofErr w:type="spellEnd"/>
            <w:r w:rsidRPr="00DC6FB4">
              <w:rPr>
                <w:rFonts w:eastAsia="Times New Roman" w:cs="Calibri"/>
                <w:color w:val="000000"/>
                <w:sz w:val="22"/>
                <w:lang w:val="en-GB" w:eastAsia="en-GB"/>
              </w:rPr>
              <w:t xml:space="preserve"> (Index point*weightage)</w:t>
            </w:r>
          </w:p>
        </w:tc>
        <w:tc>
          <w:tcPr>
            <w:tcW w:w="1053" w:type="dxa"/>
            <w:tcBorders>
              <w:top w:val="nil"/>
              <w:left w:val="nil"/>
              <w:bottom w:val="single" w:sz="4" w:space="0" w:color="auto"/>
              <w:right w:val="single" w:sz="4" w:space="0" w:color="auto"/>
            </w:tcBorders>
            <w:shd w:val="clear" w:color="auto" w:fill="auto"/>
            <w:noWrap/>
            <w:vAlign w:val="center"/>
            <w:hideMark/>
          </w:tcPr>
          <w:p w14:paraId="589971E9"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79.4295</w:t>
            </w:r>
          </w:p>
        </w:tc>
        <w:tc>
          <w:tcPr>
            <w:tcW w:w="1053" w:type="dxa"/>
            <w:tcBorders>
              <w:top w:val="nil"/>
              <w:left w:val="nil"/>
              <w:bottom w:val="single" w:sz="4" w:space="0" w:color="auto"/>
              <w:right w:val="single" w:sz="4" w:space="0" w:color="auto"/>
            </w:tcBorders>
            <w:shd w:val="clear" w:color="auto" w:fill="auto"/>
            <w:noWrap/>
            <w:vAlign w:val="center"/>
            <w:hideMark/>
          </w:tcPr>
          <w:p w14:paraId="11B3DC5A"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145.7555</w:t>
            </w:r>
          </w:p>
        </w:tc>
        <w:tc>
          <w:tcPr>
            <w:tcW w:w="1053" w:type="dxa"/>
            <w:tcBorders>
              <w:top w:val="nil"/>
              <w:left w:val="nil"/>
              <w:bottom w:val="single" w:sz="4" w:space="0" w:color="auto"/>
              <w:right w:val="single" w:sz="4" w:space="0" w:color="auto"/>
            </w:tcBorders>
            <w:shd w:val="clear" w:color="auto" w:fill="auto"/>
            <w:noWrap/>
            <w:vAlign w:val="center"/>
            <w:hideMark/>
          </w:tcPr>
          <w:p w14:paraId="3C1920F8"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225.185</w:t>
            </w:r>
          </w:p>
        </w:tc>
      </w:tr>
      <w:tr w:rsidR="00DC6FB4" w:rsidRPr="00DC6FB4" w14:paraId="6CA90AB9" w14:textId="77777777" w:rsidTr="000E6284">
        <w:trPr>
          <w:trHeight w:val="3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1C6A06D"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Combined Inflation</w:t>
            </w:r>
          </w:p>
        </w:tc>
        <w:tc>
          <w:tcPr>
            <w:tcW w:w="1053" w:type="dxa"/>
            <w:tcBorders>
              <w:top w:val="nil"/>
              <w:left w:val="nil"/>
              <w:bottom w:val="single" w:sz="4" w:space="0" w:color="auto"/>
              <w:right w:val="single" w:sz="4" w:space="0" w:color="auto"/>
            </w:tcBorders>
            <w:shd w:val="clear" w:color="auto" w:fill="auto"/>
            <w:noWrap/>
            <w:vAlign w:val="center"/>
            <w:hideMark/>
          </w:tcPr>
          <w:p w14:paraId="3C053570"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 </w:t>
            </w:r>
          </w:p>
        </w:tc>
        <w:tc>
          <w:tcPr>
            <w:tcW w:w="1053" w:type="dxa"/>
            <w:tcBorders>
              <w:top w:val="nil"/>
              <w:left w:val="nil"/>
              <w:bottom w:val="single" w:sz="4" w:space="0" w:color="auto"/>
              <w:right w:val="single" w:sz="4" w:space="0" w:color="auto"/>
            </w:tcBorders>
            <w:shd w:val="clear" w:color="auto" w:fill="auto"/>
            <w:noWrap/>
            <w:vAlign w:val="center"/>
            <w:hideMark/>
          </w:tcPr>
          <w:p w14:paraId="2EDFDA3D" w14:textId="77777777" w:rsidR="00DC6FB4" w:rsidRPr="00DC6FB4" w:rsidRDefault="00DC6FB4" w:rsidP="00DC6FB4">
            <w:pPr>
              <w:spacing w:line="240" w:lineRule="auto"/>
              <w:jc w:val="left"/>
              <w:rPr>
                <w:rFonts w:eastAsia="Times New Roman" w:cs="Calibri"/>
                <w:color w:val="000000"/>
                <w:sz w:val="22"/>
                <w:lang w:val="en-GB" w:eastAsia="en-GB"/>
              </w:rPr>
            </w:pPr>
            <w:r w:rsidRPr="00DC6FB4">
              <w:rPr>
                <w:rFonts w:eastAsia="Times New Roman" w:cs="Calibri"/>
                <w:color w:val="000000"/>
                <w:sz w:val="22"/>
                <w:lang w:val="en-GB" w:eastAsia="en-GB"/>
              </w:rPr>
              <w:t> </w:t>
            </w:r>
          </w:p>
        </w:tc>
        <w:tc>
          <w:tcPr>
            <w:tcW w:w="1053" w:type="dxa"/>
            <w:tcBorders>
              <w:top w:val="nil"/>
              <w:left w:val="nil"/>
              <w:bottom w:val="single" w:sz="4" w:space="0" w:color="auto"/>
              <w:right w:val="single" w:sz="4" w:space="0" w:color="auto"/>
            </w:tcBorders>
            <w:shd w:val="clear" w:color="auto" w:fill="auto"/>
            <w:noWrap/>
            <w:vAlign w:val="center"/>
            <w:hideMark/>
          </w:tcPr>
          <w:p w14:paraId="5CC42AC1" w14:textId="77777777" w:rsidR="00DC6FB4" w:rsidRPr="00DC6FB4" w:rsidRDefault="00DC6FB4" w:rsidP="00DC6FB4">
            <w:pPr>
              <w:spacing w:line="240" w:lineRule="auto"/>
              <w:jc w:val="right"/>
              <w:rPr>
                <w:rFonts w:eastAsia="Times New Roman" w:cs="Calibri"/>
                <w:color w:val="000000"/>
                <w:sz w:val="22"/>
                <w:lang w:val="en-GB" w:eastAsia="en-GB"/>
              </w:rPr>
            </w:pPr>
            <w:r w:rsidRPr="00DC6FB4">
              <w:rPr>
                <w:rFonts w:eastAsia="Times New Roman" w:cs="Calibri"/>
                <w:color w:val="000000"/>
                <w:sz w:val="22"/>
                <w:lang w:val="en-GB" w:eastAsia="en-GB"/>
              </w:rPr>
              <w:t>3.99%</w:t>
            </w:r>
          </w:p>
        </w:tc>
      </w:tr>
    </w:tbl>
    <w:p w14:paraId="2C0D4887" w14:textId="77777777" w:rsidR="00DC6FB4" w:rsidRDefault="00DC6FB4" w:rsidP="00811B2D"/>
    <w:p w14:paraId="00F7972B" w14:textId="20E9D149" w:rsidR="00424CBC" w:rsidRDefault="00260DF1" w:rsidP="00811B2D">
      <w:r>
        <w:t>T</w:t>
      </w:r>
      <w:r w:rsidRPr="006D41B6">
        <w:t xml:space="preserve">he Petitioner has considered an increase of </w:t>
      </w:r>
      <w:r>
        <w:t>3.99</w:t>
      </w:r>
      <w:r w:rsidRPr="006D41B6">
        <w:t>% per annum</w:t>
      </w:r>
      <w:r>
        <w:t xml:space="preserve"> (based on CPI and </w:t>
      </w:r>
      <w:proofErr w:type="spellStart"/>
      <w:r>
        <w:t>WPI</w:t>
      </w:r>
      <w:proofErr w:type="spellEnd"/>
      <w:r>
        <w:t xml:space="preserve"> Index)</w:t>
      </w:r>
      <w:r w:rsidRPr="006D41B6">
        <w:t xml:space="preserve"> </w:t>
      </w:r>
      <w:r>
        <w:t>over actual expenses for FY 2017-18 (April, 2017 to September, 2018)</w:t>
      </w:r>
      <w:r w:rsidRPr="006D41B6">
        <w:t>.</w:t>
      </w:r>
      <w:r>
        <w:t xml:space="preserve"> The Petitioner has not considered the actual employee expenses of FY 2016-17 as </w:t>
      </w:r>
      <w:r w:rsidR="00424CBC">
        <w:t xml:space="preserve">it is on lower side. To strengthen the </w:t>
      </w:r>
      <w:proofErr w:type="spellStart"/>
      <w:r w:rsidR="00424CBC">
        <w:t>SLDC</w:t>
      </w:r>
      <w:proofErr w:type="spellEnd"/>
      <w:r w:rsidR="00424CBC">
        <w:t>, no. of employees has been increased in FY 2017-18, which resulted in increased employee cost for first six month of FY 2017-18 (April, 2017 to September, 2018). Therefore, to accurately project the employee expenses actual</w:t>
      </w:r>
      <w:r w:rsidR="00424CBC" w:rsidRPr="00424CBC">
        <w:t xml:space="preserve"> </w:t>
      </w:r>
      <w:r w:rsidR="00424CBC">
        <w:t>employee cost for first six month of FY 2017-18 (April, 2017 to September, 2018) has been considered</w:t>
      </w:r>
      <w:r w:rsidR="00154406">
        <w:t xml:space="preserve"> as base </w:t>
      </w:r>
      <w:r w:rsidR="00241626">
        <w:t>for next six months</w:t>
      </w:r>
      <w:r w:rsidR="00424CBC">
        <w:t>. Details of actual</w:t>
      </w:r>
      <w:r w:rsidR="00424CBC" w:rsidRPr="00424CBC">
        <w:t xml:space="preserve"> </w:t>
      </w:r>
      <w:r w:rsidR="00424CBC">
        <w:t>employee cost for first six month of FY 2017-18 (April, 2017 to September, 2018) are shown in the Table below:</w:t>
      </w:r>
    </w:p>
    <w:p w14:paraId="60621B39" w14:textId="77777777" w:rsidR="002D0FE9" w:rsidRDefault="002D0FE9" w:rsidP="00811B2D"/>
    <w:p w14:paraId="446CA39E" w14:textId="77777777" w:rsidR="006C0256" w:rsidRDefault="006C0256" w:rsidP="00811B2D"/>
    <w:p w14:paraId="39772F9E" w14:textId="77777777" w:rsidR="006C0256" w:rsidRDefault="006C0256" w:rsidP="00811B2D"/>
    <w:p w14:paraId="2C6AA421" w14:textId="77777777" w:rsidR="006C0256" w:rsidRDefault="006C0256" w:rsidP="00811B2D"/>
    <w:p w14:paraId="61BD31DA" w14:textId="4AE9D5A6" w:rsidR="00424CBC" w:rsidRPr="00CA386D" w:rsidRDefault="002D0FE9" w:rsidP="00811B2D">
      <w:pPr>
        <w:rPr>
          <w:b/>
        </w:rPr>
      </w:pPr>
      <w:bookmarkStart w:id="17" w:name="_Toc498423471"/>
      <w:r w:rsidRPr="00CA386D">
        <w:rPr>
          <w:b/>
        </w:rPr>
        <w:t xml:space="preserve">Table </w:t>
      </w:r>
      <w:r w:rsidRPr="00CA386D">
        <w:rPr>
          <w:b/>
        </w:rPr>
        <w:fldChar w:fldCharType="begin"/>
      </w:r>
      <w:r w:rsidRPr="00CA386D">
        <w:rPr>
          <w:b/>
        </w:rPr>
        <w:instrText xml:space="preserve"> STYLEREF 1 \s </w:instrText>
      </w:r>
      <w:r w:rsidRPr="00CA386D">
        <w:rPr>
          <w:b/>
        </w:rPr>
        <w:fldChar w:fldCharType="separate"/>
      </w:r>
      <w:r w:rsidR="0045624D">
        <w:rPr>
          <w:b/>
          <w:noProof/>
        </w:rPr>
        <w:t>2</w:t>
      </w:r>
      <w:r w:rsidRPr="00CA386D">
        <w:rPr>
          <w:b/>
          <w:noProof/>
        </w:rPr>
        <w:fldChar w:fldCharType="end"/>
      </w:r>
      <w:r w:rsidRPr="00CA386D">
        <w:rPr>
          <w:b/>
        </w:rPr>
        <w:noBreakHyphen/>
      </w:r>
      <w:r w:rsidRPr="00CA386D">
        <w:rPr>
          <w:b/>
        </w:rPr>
        <w:fldChar w:fldCharType="begin"/>
      </w:r>
      <w:r w:rsidRPr="00CA386D">
        <w:rPr>
          <w:b/>
        </w:rPr>
        <w:instrText xml:space="preserve"> SEQ Table \* ARABIC \s 1 </w:instrText>
      </w:r>
      <w:r w:rsidRPr="00CA386D">
        <w:rPr>
          <w:b/>
        </w:rPr>
        <w:fldChar w:fldCharType="separate"/>
      </w:r>
      <w:r w:rsidR="0045624D">
        <w:rPr>
          <w:b/>
          <w:noProof/>
        </w:rPr>
        <w:t>2</w:t>
      </w:r>
      <w:r w:rsidRPr="00CA386D">
        <w:rPr>
          <w:b/>
          <w:noProof/>
        </w:rPr>
        <w:fldChar w:fldCharType="end"/>
      </w:r>
      <w:r w:rsidRPr="00CA386D">
        <w:rPr>
          <w:b/>
        </w:rPr>
        <w:t>: Actual employee cost for first six month of FY 2017-18 (April, 2017 to September, 2018) (</w:t>
      </w:r>
      <w:r w:rsidR="0092447A">
        <w:rPr>
          <w:b/>
        </w:rPr>
        <w:t xml:space="preserve">in </w:t>
      </w:r>
      <w:r w:rsidRPr="00CA386D">
        <w:rPr>
          <w:b/>
        </w:rPr>
        <w:t>Rs</w:t>
      </w:r>
      <w:r w:rsidR="0092447A">
        <w:rPr>
          <w:b/>
        </w:rPr>
        <w:t>.</w:t>
      </w:r>
      <w:r w:rsidRPr="00CA386D">
        <w:rPr>
          <w:b/>
        </w:rPr>
        <w:t>)</w:t>
      </w:r>
      <w:bookmarkEnd w:id="17"/>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2028"/>
      </w:tblGrid>
      <w:tr w:rsidR="001378C2" w:rsidRPr="0092447A" w14:paraId="58EB96B2" w14:textId="77777777" w:rsidTr="00CA386D">
        <w:trPr>
          <w:trHeight w:val="435"/>
        </w:trPr>
        <w:tc>
          <w:tcPr>
            <w:tcW w:w="4913" w:type="dxa"/>
            <w:shd w:val="clear" w:color="auto" w:fill="auto"/>
            <w:vAlign w:val="center"/>
            <w:hideMark/>
          </w:tcPr>
          <w:p w14:paraId="1EA765DF" w14:textId="77777777" w:rsidR="001378C2" w:rsidRPr="00CA386D" w:rsidRDefault="001378C2" w:rsidP="002D0FE9">
            <w:pPr>
              <w:spacing w:line="240" w:lineRule="auto"/>
              <w:jc w:val="left"/>
              <w:rPr>
                <w:rFonts w:eastAsia="Times New Roman" w:cs="Arial"/>
                <w:b/>
                <w:bCs/>
                <w:color w:val="000000"/>
                <w:szCs w:val="24"/>
                <w:lang w:val="en-GB" w:eastAsia="en-GB"/>
              </w:rPr>
            </w:pPr>
            <w:r w:rsidRPr="00CA386D">
              <w:rPr>
                <w:rFonts w:eastAsia="Times New Roman" w:cs="Arial"/>
                <w:b/>
                <w:bCs/>
                <w:color w:val="000000"/>
                <w:szCs w:val="24"/>
                <w:lang w:val="en-GB" w:eastAsia="en-GB"/>
              </w:rPr>
              <w:t>Employee Cost</w:t>
            </w:r>
          </w:p>
        </w:tc>
        <w:tc>
          <w:tcPr>
            <w:tcW w:w="2028" w:type="dxa"/>
            <w:shd w:val="clear" w:color="auto" w:fill="auto"/>
            <w:noWrap/>
            <w:vAlign w:val="center"/>
            <w:hideMark/>
          </w:tcPr>
          <w:p w14:paraId="16FBE778" w14:textId="77777777" w:rsidR="001378C2" w:rsidRPr="00CA386D" w:rsidRDefault="001378C2" w:rsidP="00CA386D">
            <w:pPr>
              <w:spacing w:line="240" w:lineRule="auto"/>
              <w:jc w:val="right"/>
              <w:rPr>
                <w:rFonts w:eastAsia="Times New Roman" w:cs="Calibri"/>
                <w:b/>
                <w:color w:val="000000"/>
                <w:szCs w:val="24"/>
                <w:lang w:val="en-GB" w:eastAsia="en-GB"/>
              </w:rPr>
            </w:pPr>
            <w:r w:rsidRPr="00CA386D">
              <w:rPr>
                <w:rFonts w:eastAsia="Times New Roman" w:cs="Calibri"/>
                <w:b/>
                <w:color w:val="000000"/>
                <w:szCs w:val="24"/>
                <w:lang w:val="en-GB" w:eastAsia="en-GB"/>
              </w:rPr>
              <w:t>Amount</w:t>
            </w:r>
          </w:p>
        </w:tc>
      </w:tr>
      <w:tr w:rsidR="0092447A" w:rsidRPr="0092447A" w14:paraId="639134D3" w14:textId="77777777" w:rsidTr="00CA386D">
        <w:trPr>
          <w:trHeight w:val="300"/>
        </w:trPr>
        <w:tc>
          <w:tcPr>
            <w:tcW w:w="4913" w:type="dxa"/>
            <w:shd w:val="clear" w:color="auto" w:fill="auto"/>
            <w:hideMark/>
          </w:tcPr>
          <w:p w14:paraId="61011C07" w14:textId="23542FF6"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 xml:space="preserve">Salary Payable- </w:t>
            </w:r>
            <w:proofErr w:type="spellStart"/>
            <w:r w:rsidRPr="00CA386D">
              <w:rPr>
                <w:rFonts w:cs="Arial"/>
                <w:color w:val="000000"/>
                <w:szCs w:val="24"/>
              </w:rPr>
              <w:t>SLDC</w:t>
            </w:r>
            <w:proofErr w:type="spellEnd"/>
          </w:p>
        </w:tc>
        <w:tc>
          <w:tcPr>
            <w:tcW w:w="2028" w:type="dxa"/>
            <w:shd w:val="clear" w:color="auto" w:fill="auto"/>
            <w:noWrap/>
            <w:hideMark/>
          </w:tcPr>
          <w:p w14:paraId="029D31EE" w14:textId="29CD4878"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2361605.00 </w:t>
            </w:r>
          </w:p>
        </w:tc>
      </w:tr>
      <w:tr w:rsidR="0092447A" w:rsidRPr="0092447A" w14:paraId="0C2A655A" w14:textId="77777777" w:rsidTr="00CA386D">
        <w:trPr>
          <w:trHeight w:val="315"/>
        </w:trPr>
        <w:tc>
          <w:tcPr>
            <w:tcW w:w="4913" w:type="dxa"/>
            <w:shd w:val="clear" w:color="auto" w:fill="auto"/>
            <w:hideMark/>
          </w:tcPr>
          <w:p w14:paraId="54A479CA" w14:textId="7C749B63"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Salaries-Permanent Employees (Executive)</w:t>
            </w:r>
          </w:p>
        </w:tc>
        <w:tc>
          <w:tcPr>
            <w:tcW w:w="2028" w:type="dxa"/>
            <w:shd w:val="clear" w:color="auto" w:fill="auto"/>
            <w:noWrap/>
            <w:hideMark/>
          </w:tcPr>
          <w:p w14:paraId="44E123E2" w14:textId="6DC8AF92"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9022514.00 </w:t>
            </w:r>
          </w:p>
        </w:tc>
      </w:tr>
      <w:tr w:rsidR="0092447A" w:rsidRPr="0092447A" w14:paraId="5028945A" w14:textId="77777777" w:rsidTr="00CA386D">
        <w:trPr>
          <w:trHeight w:val="285"/>
        </w:trPr>
        <w:tc>
          <w:tcPr>
            <w:tcW w:w="4913" w:type="dxa"/>
            <w:shd w:val="clear" w:color="auto" w:fill="auto"/>
            <w:hideMark/>
          </w:tcPr>
          <w:p w14:paraId="517EF5C7" w14:textId="1DF831A8"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House Rent Allowance</w:t>
            </w:r>
          </w:p>
        </w:tc>
        <w:tc>
          <w:tcPr>
            <w:tcW w:w="2028" w:type="dxa"/>
            <w:shd w:val="clear" w:color="auto" w:fill="auto"/>
            <w:noWrap/>
            <w:hideMark/>
          </w:tcPr>
          <w:p w14:paraId="0EA7A318" w14:textId="4633051D"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829309.00 </w:t>
            </w:r>
          </w:p>
        </w:tc>
      </w:tr>
      <w:tr w:rsidR="0092447A" w:rsidRPr="0092447A" w14:paraId="7AF09A02" w14:textId="77777777" w:rsidTr="00CA386D">
        <w:trPr>
          <w:trHeight w:val="285"/>
        </w:trPr>
        <w:tc>
          <w:tcPr>
            <w:tcW w:w="4913" w:type="dxa"/>
            <w:shd w:val="clear" w:color="auto" w:fill="auto"/>
            <w:hideMark/>
          </w:tcPr>
          <w:p w14:paraId="3FD02938" w14:textId="734B5563" w:rsidR="0092447A" w:rsidRPr="00CA386D" w:rsidRDefault="0092447A" w:rsidP="0092447A">
            <w:pPr>
              <w:spacing w:line="240" w:lineRule="auto"/>
              <w:jc w:val="left"/>
              <w:rPr>
                <w:rFonts w:eastAsia="Times New Roman" w:cs="Arial"/>
                <w:color w:val="000000"/>
                <w:szCs w:val="24"/>
                <w:lang w:val="en-GB" w:eastAsia="en-GB"/>
              </w:rPr>
            </w:pPr>
            <w:proofErr w:type="spellStart"/>
            <w:r w:rsidRPr="00CA386D">
              <w:rPr>
                <w:rFonts w:cs="Arial"/>
                <w:color w:val="000000"/>
                <w:szCs w:val="24"/>
              </w:rPr>
              <w:t>D.A</w:t>
            </w:r>
            <w:proofErr w:type="spellEnd"/>
            <w:r w:rsidRPr="00CA386D">
              <w:rPr>
                <w:rFonts w:cs="Arial"/>
                <w:color w:val="000000"/>
                <w:szCs w:val="24"/>
              </w:rPr>
              <w:t>- Permanent Employees (Executive)</w:t>
            </w:r>
          </w:p>
        </w:tc>
        <w:tc>
          <w:tcPr>
            <w:tcW w:w="2028" w:type="dxa"/>
            <w:shd w:val="clear" w:color="auto" w:fill="auto"/>
            <w:noWrap/>
            <w:hideMark/>
          </w:tcPr>
          <w:p w14:paraId="2FCA3218" w14:textId="23DADADD"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2409278.00 </w:t>
            </w:r>
          </w:p>
        </w:tc>
      </w:tr>
      <w:tr w:rsidR="0092447A" w:rsidRPr="0092447A" w14:paraId="04EA5B94" w14:textId="77777777" w:rsidTr="00CA386D">
        <w:trPr>
          <w:trHeight w:val="270"/>
        </w:trPr>
        <w:tc>
          <w:tcPr>
            <w:tcW w:w="4913" w:type="dxa"/>
            <w:shd w:val="clear" w:color="auto" w:fill="auto"/>
            <w:hideMark/>
          </w:tcPr>
          <w:p w14:paraId="7B513004" w14:textId="17439086"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Special Pay</w:t>
            </w:r>
          </w:p>
        </w:tc>
        <w:tc>
          <w:tcPr>
            <w:tcW w:w="2028" w:type="dxa"/>
            <w:shd w:val="clear" w:color="auto" w:fill="auto"/>
            <w:noWrap/>
            <w:hideMark/>
          </w:tcPr>
          <w:p w14:paraId="74ABFBDE" w14:textId="7EECB059"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124683.00 </w:t>
            </w:r>
          </w:p>
        </w:tc>
      </w:tr>
      <w:tr w:rsidR="0092447A" w:rsidRPr="0092447A" w14:paraId="0FA2B70E" w14:textId="77777777" w:rsidTr="00CA386D">
        <w:trPr>
          <w:trHeight w:val="300"/>
        </w:trPr>
        <w:tc>
          <w:tcPr>
            <w:tcW w:w="4913" w:type="dxa"/>
            <w:shd w:val="clear" w:color="auto" w:fill="auto"/>
            <w:hideMark/>
          </w:tcPr>
          <w:p w14:paraId="2DC7EDD8" w14:textId="10BE8566"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City Transport Allowance</w:t>
            </w:r>
          </w:p>
        </w:tc>
        <w:tc>
          <w:tcPr>
            <w:tcW w:w="2028" w:type="dxa"/>
            <w:shd w:val="clear" w:color="auto" w:fill="auto"/>
            <w:noWrap/>
            <w:hideMark/>
          </w:tcPr>
          <w:p w14:paraId="69FC5055" w14:textId="0A8F174D"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145181.00 </w:t>
            </w:r>
          </w:p>
        </w:tc>
      </w:tr>
      <w:tr w:rsidR="0092447A" w:rsidRPr="0092447A" w14:paraId="0F3E897A" w14:textId="77777777" w:rsidTr="00CA386D">
        <w:trPr>
          <w:trHeight w:val="345"/>
        </w:trPr>
        <w:tc>
          <w:tcPr>
            <w:tcW w:w="4913" w:type="dxa"/>
            <w:shd w:val="clear" w:color="auto" w:fill="auto"/>
            <w:hideMark/>
          </w:tcPr>
          <w:p w14:paraId="70555652" w14:textId="57B3C12C"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Tablet Maintenance</w:t>
            </w:r>
          </w:p>
        </w:tc>
        <w:tc>
          <w:tcPr>
            <w:tcW w:w="2028" w:type="dxa"/>
            <w:shd w:val="clear" w:color="auto" w:fill="auto"/>
            <w:noWrap/>
            <w:hideMark/>
          </w:tcPr>
          <w:p w14:paraId="14DD7783" w14:textId="7D886F9E"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80176.00 </w:t>
            </w:r>
          </w:p>
        </w:tc>
      </w:tr>
      <w:tr w:rsidR="0092447A" w:rsidRPr="0092447A" w14:paraId="6ABAC229" w14:textId="77777777" w:rsidTr="00CA386D">
        <w:trPr>
          <w:trHeight w:val="315"/>
        </w:trPr>
        <w:tc>
          <w:tcPr>
            <w:tcW w:w="4913" w:type="dxa"/>
            <w:shd w:val="clear" w:color="auto" w:fill="auto"/>
            <w:hideMark/>
          </w:tcPr>
          <w:p w14:paraId="6D2CB93A" w14:textId="2EA58308" w:rsidR="0092447A" w:rsidRPr="00CA386D" w:rsidRDefault="0092447A" w:rsidP="0092447A">
            <w:pPr>
              <w:spacing w:line="240" w:lineRule="auto"/>
              <w:jc w:val="left"/>
              <w:rPr>
                <w:rFonts w:eastAsia="Times New Roman" w:cs="Arial"/>
                <w:color w:val="000000"/>
                <w:szCs w:val="24"/>
                <w:lang w:val="en-GB" w:eastAsia="en-GB"/>
              </w:rPr>
            </w:pPr>
            <w:proofErr w:type="spellStart"/>
            <w:r w:rsidRPr="00CA386D">
              <w:rPr>
                <w:rFonts w:cs="Arial"/>
                <w:color w:val="000000"/>
                <w:szCs w:val="24"/>
              </w:rPr>
              <w:t>SIM</w:t>
            </w:r>
            <w:proofErr w:type="spellEnd"/>
            <w:r w:rsidRPr="00CA386D">
              <w:rPr>
                <w:rFonts w:cs="Arial"/>
                <w:color w:val="000000"/>
                <w:szCs w:val="24"/>
              </w:rPr>
              <w:t xml:space="preserve"> Maintenance</w:t>
            </w:r>
          </w:p>
        </w:tc>
        <w:tc>
          <w:tcPr>
            <w:tcW w:w="2028" w:type="dxa"/>
            <w:shd w:val="clear" w:color="auto" w:fill="auto"/>
            <w:noWrap/>
            <w:hideMark/>
          </w:tcPr>
          <w:p w14:paraId="67CAD0D7" w14:textId="5816ACE1"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76176.00 </w:t>
            </w:r>
          </w:p>
        </w:tc>
      </w:tr>
      <w:tr w:rsidR="0092447A" w:rsidRPr="0092447A" w14:paraId="16FC2C85" w14:textId="77777777" w:rsidTr="00CA386D">
        <w:trPr>
          <w:trHeight w:val="315"/>
        </w:trPr>
        <w:tc>
          <w:tcPr>
            <w:tcW w:w="4913" w:type="dxa"/>
            <w:shd w:val="clear" w:color="auto" w:fill="auto"/>
            <w:hideMark/>
          </w:tcPr>
          <w:p w14:paraId="19B79AFA" w14:textId="26514B91" w:rsidR="0092447A" w:rsidRPr="00CA386D" w:rsidRDefault="0092447A" w:rsidP="0092447A">
            <w:pPr>
              <w:spacing w:line="240" w:lineRule="auto"/>
              <w:jc w:val="left"/>
              <w:rPr>
                <w:rFonts w:eastAsia="Times New Roman" w:cs="Arial"/>
                <w:color w:val="000000"/>
                <w:szCs w:val="24"/>
                <w:highlight w:val="yellow"/>
                <w:lang w:val="en-GB" w:eastAsia="en-GB"/>
              </w:rPr>
            </w:pPr>
            <w:r w:rsidRPr="00CA386D">
              <w:rPr>
                <w:rFonts w:cs="Arial"/>
                <w:color w:val="000000"/>
                <w:szCs w:val="24"/>
              </w:rPr>
              <w:t>CPS Contribution (Employer)</w:t>
            </w:r>
          </w:p>
        </w:tc>
        <w:tc>
          <w:tcPr>
            <w:tcW w:w="2028" w:type="dxa"/>
            <w:shd w:val="clear" w:color="auto" w:fill="auto"/>
            <w:noWrap/>
            <w:hideMark/>
          </w:tcPr>
          <w:p w14:paraId="33C13ADE" w14:textId="0F79F926" w:rsidR="0092447A" w:rsidRPr="00CA386D" w:rsidRDefault="0092447A" w:rsidP="0092447A">
            <w:pPr>
              <w:spacing w:line="240" w:lineRule="auto"/>
              <w:jc w:val="right"/>
              <w:rPr>
                <w:rFonts w:eastAsia="Times New Roman" w:cs="Calibri"/>
                <w:color w:val="000000"/>
                <w:szCs w:val="24"/>
                <w:highlight w:val="yellow"/>
                <w:lang w:val="en-GB" w:eastAsia="en-GB"/>
              </w:rPr>
            </w:pPr>
            <w:r w:rsidRPr="00CA386D">
              <w:rPr>
                <w:rFonts w:cs="Arial"/>
                <w:color w:val="000000"/>
                <w:szCs w:val="24"/>
              </w:rPr>
              <w:t xml:space="preserve">800345.00 </w:t>
            </w:r>
          </w:p>
        </w:tc>
      </w:tr>
      <w:tr w:rsidR="0092447A" w:rsidRPr="0092447A" w14:paraId="73363B4B" w14:textId="77777777" w:rsidTr="00CA386D">
        <w:trPr>
          <w:trHeight w:val="315"/>
        </w:trPr>
        <w:tc>
          <w:tcPr>
            <w:tcW w:w="4913" w:type="dxa"/>
            <w:shd w:val="clear" w:color="auto" w:fill="auto"/>
            <w:hideMark/>
          </w:tcPr>
          <w:p w14:paraId="6344A3EF" w14:textId="39BB6A3C"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Honorarium</w:t>
            </w:r>
          </w:p>
        </w:tc>
        <w:tc>
          <w:tcPr>
            <w:tcW w:w="2028" w:type="dxa"/>
            <w:shd w:val="clear" w:color="auto" w:fill="auto"/>
            <w:noWrap/>
            <w:hideMark/>
          </w:tcPr>
          <w:p w14:paraId="5B51FBD0" w14:textId="353AB9AE"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7500.00 </w:t>
            </w:r>
          </w:p>
        </w:tc>
      </w:tr>
      <w:tr w:rsidR="0092447A" w:rsidRPr="0092447A" w14:paraId="23844C03" w14:textId="77777777" w:rsidTr="00CA386D">
        <w:trPr>
          <w:trHeight w:val="315"/>
        </w:trPr>
        <w:tc>
          <w:tcPr>
            <w:tcW w:w="4913" w:type="dxa"/>
            <w:shd w:val="clear" w:color="auto" w:fill="auto"/>
            <w:hideMark/>
          </w:tcPr>
          <w:p w14:paraId="028D9932" w14:textId="0EC44452"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Salaries-Permanent Employees (Non-Executive)</w:t>
            </w:r>
          </w:p>
        </w:tc>
        <w:tc>
          <w:tcPr>
            <w:tcW w:w="2028" w:type="dxa"/>
            <w:shd w:val="clear" w:color="auto" w:fill="auto"/>
            <w:noWrap/>
            <w:hideMark/>
          </w:tcPr>
          <w:p w14:paraId="0D3ACAD7" w14:textId="6B94C40C"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1458801.00 </w:t>
            </w:r>
          </w:p>
        </w:tc>
      </w:tr>
      <w:tr w:rsidR="0092447A" w:rsidRPr="0092447A" w14:paraId="3D941E6F" w14:textId="77777777" w:rsidTr="00CA386D">
        <w:trPr>
          <w:trHeight w:val="315"/>
        </w:trPr>
        <w:tc>
          <w:tcPr>
            <w:tcW w:w="4913" w:type="dxa"/>
            <w:shd w:val="clear" w:color="auto" w:fill="auto"/>
            <w:hideMark/>
          </w:tcPr>
          <w:p w14:paraId="2564D883" w14:textId="40E967D9" w:rsidR="0092447A" w:rsidRPr="00CA386D" w:rsidRDefault="0092447A" w:rsidP="0092447A">
            <w:pPr>
              <w:spacing w:line="240" w:lineRule="auto"/>
              <w:jc w:val="left"/>
              <w:rPr>
                <w:rFonts w:eastAsia="Times New Roman" w:cs="Arial"/>
                <w:color w:val="000000"/>
                <w:szCs w:val="24"/>
                <w:lang w:val="en-GB" w:eastAsia="en-GB"/>
              </w:rPr>
            </w:pPr>
            <w:proofErr w:type="spellStart"/>
            <w:r w:rsidRPr="00CA386D">
              <w:rPr>
                <w:rFonts w:cs="Arial"/>
                <w:color w:val="000000"/>
                <w:szCs w:val="24"/>
              </w:rPr>
              <w:t>D.A</w:t>
            </w:r>
            <w:proofErr w:type="spellEnd"/>
            <w:r w:rsidRPr="00CA386D">
              <w:rPr>
                <w:rFonts w:cs="Arial"/>
                <w:color w:val="000000"/>
                <w:szCs w:val="24"/>
              </w:rPr>
              <w:t>- Permanent Employees (Non-Executive)</w:t>
            </w:r>
          </w:p>
        </w:tc>
        <w:tc>
          <w:tcPr>
            <w:tcW w:w="2028" w:type="dxa"/>
            <w:shd w:val="clear" w:color="auto" w:fill="auto"/>
            <w:noWrap/>
            <w:hideMark/>
          </w:tcPr>
          <w:p w14:paraId="28D2E47B" w14:textId="086074BA"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426044.00 </w:t>
            </w:r>
          </w:p>
        </w:tc>
      </w:tr>
      <w:tr w:rsidR="0092447A" w:rsidRPr="0092447A" w14:paraId="1EE5079B" w14:textId="77777777" w:rsidTr="00CA386D">
        <w:trPr>
          <w:trHeight w:val="315"/>
        </w:trPr>
        <w:tc>
          <w:tcPr>
            <w:tcW w:w="4913" w:type="dxa"/>
            <w:shd w:val="clear" w:color="auto" w:fill="auto"/>
            <w:hideMark/>
          </w:tcPr>
          <w:p w14:paraId="76605F0D" w14:textId="2A67049B"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Compensatory Allowance</w:t>
            </w:r>
          </w:p>
        </w:tc>
        <w:tc>
          <w:tcPr>
            <w:tcW w:w="2028" w:type="dxa"/>
            <w:shd w:val="clear" w:color="auto" w:fill="auto"/>
            <w:noWrap/>
            <w:hideMark/>
          </w:tcPr>
          <w:p w14:paraId="6A2B6C42" w14:textId="2705BE0C"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1572.00 </w:t>
            </w:r>
          </w:p>
        </w:tc>
      </w:tr>
      <w:tr w:rsidR="0092447A" w:rsidRPr="0092447A" w14:paraId="65EE09FD" w14:textId="77777777" w:rsidTr="00CA386D">
        <w:trPr>
          <w:trHeight w:val="315"/>
        </w:trPr>
        <w:tc>
          <w:tcPr>
            <w:tcW w:w="4913" w:type="dxa"/>
            <w:shd w:val="clear" w:color="auto" w:fill="auto"/>
            <w:hideMark/>
          </w:tcPr>
          <w:p w14:paraId="536180CD" w14:textId="7BDA6481"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Emergency Allowance</w:t>
            </w:r>
          </w:p>
        </w:tc>
        <w:tc>
          <w:tcPr>
            <w:tcW w:w="2028" w:type="dxa"/>
            <w:shd w:val="clear" w:color="auto" w:fill="auto"/>
            <w:noWrap/>
            <w:hideMark/>
          </w:tcPr>
          <w:p w14:paraId="5E971ADA" w14:textId="24D24DC1"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3600.00 </w:t>
            </w:r>
          </w:p>
        </w:tc>
      </w:tr>
      <w:tr w:rsidR="0092447A" w:rsidRPr="0092447A" w14:paraId="07A85A3B" w14:textId="77777777" w:rsidTr="00CA386D">
        <w:trPr>
          <w:trHeight w:val="315"/>
        </w:trPr>
        <w:tc>
          <w:tcPr>
            <w:tcW w:w="4913" w:type="dxa"/>
            <w:shd w:val="clear" w:color="auto" w:fill="auto"/>
            <w:hideMark/>
          </w:tcPr>
          <w:p w14:paraId="78022538" w14:textId="2C3E2678"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Shaving/washing Allowance</w:t>
            </w:r>
          </w:p>
        </w:tc>
        <w:tc>
          <w:tcPr>
            <w:tcW w:w="2028" w:type="dxa"/>
            <w:shd w:val="clear" w:color="auto" w:fill="auto"/>
            <w:noWrap/>
            <w:hideMark/>
          </w:tcPr>
          <w:p w14:paraId="055ACE48" w14:textId="7B5CBC58"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120.00 </w:t>
            </w:r>
          </w:p>
        </w:tc>
      </w:tr>
      <w:tr w:rsidR="0092447A" w:rsidRPr="0092447A" w14:paraId="268EFF9C" w14:textId="77777777" w:rsidTr="00CA386D">
        <w:trPr>
          <w:trHeight w:val="315"/>
        </w:trPr>
        <w:tc>
          <w:tcPr>
            <w:tcW w:w="4913" w:type="dxa"/>
            <w:shd w:val="clear" w:color="auto" w:fill="auto"/>
            <w:hideMark/>
          </w:tcPr>
          <w:p w14:paraId="609A3424" w14:textId="1E8A6F51"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Conveyance Allowance</w:t>
            </w:r>
          </w:p>
        </w:tc>
        <w:tc>
          <w:tcPr>
            <w:tcW w:w="2028" w:type="dxa"/>
            <w:shd w:val="clear" w:color="auto" w:fill="auto"/>
            <w:noWrap/>
            <w:hideMark/>
          </w:tcPr>
          <w:p w14:paraId="16CF3773" w14:textId="135B6818"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11700.00 </w:t>
            </w:r>
          </w:p>
        </w:tc>
      </w:tr>
      <w:tr w:rsidR="0092447A" w:rsidRPr="0092447A" w14:paraId="0982E0A9" w14:textId="77777777" w:rsidTr="00CA386D">
        <w:trPr>
          <w:trHeight w:val="315"/>
        </w:trPr>
        <w:tc>
          <w:tcPr>
            <w:tcW w:w="4913" w:type="dxa"/>
            <w:shd w:val="clear" w:color="auto" w:fill="auto"/>
            <w:hideMark/>
          </w:tcPr>
          <w:p w14:paraId="56F0CC6D" w14:textId="45FA74F7"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Suspense</w:t>
            </w:r>
          </w:p>
        </w:tc>
        <w:tc>
          <w:tcPr>
            <w:tcW w:w="2028" w:type="dxa"/>
            <w:shd w:val="clear" w:color="auto" w:fill="auto"/>
            <w:noWrap/>
            <w:hideMark/>
          </w:tcPr>
          <w:p w14:paraId="6EDF59BF" w14:textId="06A74EB5"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500.00 </w:t>
            </w:r>
          </w:p>
        </w:tc>
      </w:tr>
      <w:tr w:rsidR="0092447A" w:rsidRPr="0092447A" w14:paraId="02420E82" w14:textId="77777777" w:rsidTr="00CA386D">
        <w:trPr>
          <w:trHeight w:val="315"/>
        </w:trPr>
        <w:tc>
          <w:tcPr>
            <w:tcW w:w="4913" w:type="dxa"/>
            <w:shd w:val="clear" w:color="auto" w:fill="auto"/>
            <w:hideMark/>
          </w:tcPr>
          <w:p w14:paraId="7CF17900" w14:textId="7BF65034"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Computer Literacy Allowance</w:t>
            </w:r>
          </w:p>
        </w:tc>
        <w:tc>
          <w:tcPr>
            <w:tcW w:w="2028" w:type="dxa"/>
            <w:shd w:val="clear" w:color="auto" w:fill="auto"/>
            <w:noWrap/>
            <w:hideMark/>
          </w:tcPr>
          <w:p w14:paraId="56BBEB63" w14:textId="13A8E989"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105752.00 </w:t>
            </w:r>
          </w:p>
        </w:tc>
      </w:tr>
      <w:tr w:rsidR="0092447A" w:rsidRPr="0092447A" w14:paraId="4BA14BD1" w14:textId="77777777" w:rsidTr="00CA386D">
        <w:trPr>
          <w:trHeight w:val="315"/>
        </w:trPr>
        <w:tc>
          <w:tcPr>
            <w:tcW w:w="4913" w:type="dxa"/>
            <w:shd w:val="clear" w:color="auto" w:fill="auto"/>
            <w:hideMark/>
          </w:tcPr>
          <w:p w14:paraId="3B334707" w14:textId="0915F782" w:rsidR="0092447A" w:rsidRPr="00CA386D" w:rsidRDefault="0092447A" w:rsidP="0092447A">
            <w:pPr>
              <w:spacing w:line="240" w:lineRule="auto"/>
              <w:jc w:val="left"/>
              <w:rPr>
                <w:rFonts w:eastAsia="Times New Roman" w:cs="Arial"/>
                <w:color w:val="000000"/>
                <w:szCs w:val="24"/>
                <w:lang w:val="en-GB" w:eastAsia="en-GB"/>
              </w:rPr>
            </w:pPr>
            <w:r w:rsidRPr="00CA386D">
              <w:rPr>
                <w:rFonts w:cs="Arial"/>
                <w:color w:val="000000"/>
                <w:szCs w:val="24"/>
              </w:rPr>
              <w:t>Medical Expenses Reimbursement (Officer)</w:t>
            </w:r>
          </w:p>
        </w:tc>
        <w:tc>
          <w:tcPr>
            <w:tcW w:w="2028" w:type="dxa"/>
            <w:shd w:val="clear" w:color="auto" w:fill="auto"/>
            <w:noWrap/>
            <w:hideMark/>
          </w:tcPr>
          <w:p w14:paraId="39389B0E" w14:textId="23176419" w:rsidR="0092447A" w:rsidRPr="00CA386D" w:rsidRDefault="0092447A" w:rsidP="0092447A">
            <w:pPr>
              <w:spacing w:line="240" w:lineRule="auto"/>
              <w:jc w:val="right"/>
              <w:rPr>
                <w:rFonts w:eastAsia="Times New Roman" w:cs="Calibri"/>
                <w:color w:val="000000"/>
                <w:szCs w:val="24"/>
                <w:lang w:val="en-GB" w:eastAsia="en-GB"/>
              </w:rPr>
            </w:pPr>
            <w:r w:rsidRPr="00CA386D">
              <w:rPr>
                <w:rFonts w:cs="Arial"/>
                <w:color w:val="000000"/>
                <w:szCs w:val="24"/>
              </w:rPr>
              <w:t xml:space="preserve">50339.00 </w:t>
            </w:r>
          </w:p>
        </w:tc>
      </w:tr>
      <w:tr w:rsidR="001378C2" w:rsidRPr="0092447A" w14:paraId="5BA4ED57" w14:textId="77777777" w:rsidTr="00CA386D">
        <w:trPr>
          <w:trHeight w:val="315"/>
        </w:trPr>
        <w:tc>
          <w:tcPr>
            <w:tcW w:w="4913" w:type="dxa"/>
            <w:shd w:val="clear" w:color="auto" w:fill="auto"/>
            <w:hideMark/>
          </w:tcPr>
          <w:p w14:paraId="591CAD0D" w14:textId="254B8F79" w:rsidR="001378C2" w:rsidRPr="00CA386D" w:rsidRDefault="002D0FE9" w:rsidP="001378C2">
            <w:pPr>
              <w:spacing w:line="240" w:lineRule="auto"/>
              <w:jc w:val="center"/>
              <w:rPr>
                <w:rFonts w:eastAsia="Times New Roman" w:cs="Arial"/>
                <w:b/>
                <w:color w:val="000000"/>
                <w:szCs w:val="24"/>
                <w:lang w:val="en-GB" w:eastAsia="en-GB"/>
              </w:rPr>
            </w:pPr>
            <w:r w:rsidRPr="00CA386D">
              <w:rPr>
                <w:rFonts w:eastAsia="Times New Roman" w:cs="Arial"/>
                <w:b/>
                <w:color w:val="000000"/>
                <w:szCs w:val="24"/>
                <w:lang w:val="en-GB" w:eastAsia="en-GB"/>
              </w:rPr>
              <w:t>Total</w:t>
            </w:r>
            <w:r w:rsidR="001378C2" w:rsidRPr="00CA386D">
              <w:rPr>
                <w:rFonts w:eastAsia="Times New Roman" w:cs="Arial"/>
                <w:b/>
                <w:color w:val="000000"/>
                <w:szCs w:val="24"/>
                <w:lang w:val="en-GB" w:eastAsia="en-GB"/>
              </w:rPr>
              <w:t> </w:t>
            </w:r>
          </w:p>
        </w:tc>
        <w:tc>
          <w:tcPr>
            <w:tcW w:w="2028" w:type="dxa"/>
            <w:shd w:val="clear" w:color="auto" w:fill="auto"/>
            <w:noWrap/>
            <w:vAlign w:val="center"/>
            <w:hideMark/>
          </w:tcPr>
          <w:p w14:paraId="3C27BDB0" w14:textId="59948477" w:rsidR="001378C2" w:rsidRPr="00CA386D" w:rsidRDefault="00190E5B" w:rsidP="00190E5B">
            <w:pPr>
              <w:spacing w:line="240" w:lineRule="auto"/>
              <w:jc w:val="right"/>
              <w:rPr>
                <w:rFonts w:cs="Arial"/>
                <w:b/>
                <w:color w:val="000000"/>
                <w:szCs w:val="24"/>
              </w:rPr>
            </w:pPr>
            <w:r w:rsidRPr="00CA386D">
              <w:rPr>
                <w:rFonts w:cs="Arial"/>
                <w:b/>
                <w:color w:val="000000"/>
                <w:szCs w:val="24"/>
              </w:rPr>
              <w:t xml:space="preserve">33864298.00 </w:t>
            </w:r>
          </w:p>
        </w:tc>
      </w:tr>
    </w:tbl>
    <w:p w14:paraId="57869774" w14:textId="77777777" w:rsidR="001378C2" w:rsidRDefault="001378C2" w:rsidP="00811B2D"/>
    <w:p w14:paraId="64B1AF59" w14:textId="298195FA" w:rsidR="00260DF1" w:rsidRDefault="00260DF1" w:rsidP="00811B2D"/>
    <w:p w14:paraId="6B6367C4" w14:textId="77777777" w:rsidR="006C0256" w:rsidRDefault="006C0256" w:rsidP="00811B2D"/>
    <w:p w14:paraId="5F90C323" w14:textId="77777777" w:rsidR="006C0256" w:rsidRDefault="006C0256" w:rsidP="00811B2D"/>
    <w:p w14:paraId="4F9AF626" w14:textId="77777777" w:rsidR="006C0256" w:rsidRDefault="006C0256" w:rsidP="00811B2D"/>
    <w:p w14:paraId="06E1E0E2" w14:textId="77777777" w:rsidR="006C0256" w:rsidRDefault="006C0256" w:rsidP="00811B2D"/>
    <w:p w14:paraId="227CDFBF" w14:textId="77777777" w:rsidR="006C0256" w:rsidRDefault="006C0256" w:rsidP="00811B2D"/>
    <w:p w14:paraId="2BA06B38" w14:textId="77777777" w:rsidR="006C0256" w:rsidRDefault="006C0256" w:rsidP="00811B2D"/>
    <w:p w14:paraId="443E0C19" w14:textId="77777777" w:rsidR="006C0256" w:rsidRDefault="006C0256" w:rsidP="00811B2D"/>
    <w:p w14:paraId="1B63033C" w14:textId="77777777" w:rsidR="006C0256" w:rsidRDefault="006C0256" w:rsidP="00811B2D"/>
    <w:p w14:paraId="407FDAB5" w14:textId="77777777" w:rsidR="006C0256" w:rsidRDefault="006C0256" w:rsidP="00811B2D"/>
    <w:p w14:paraId="03F6174B" w14:textId="77777777" w:rsidR="006C0256" w:rsidRDefault="006C0256" w:rsidP="00811B2D"/>
    <w:p w14:paraId="12E83AF1" w14:textId="77777777" w:rsidR="006C0256" w:rsidRDefault="006C0256" w:rsidP="00811B2D"/>
    <w:p w14:paraId="22BF31BB" w14:textId="1FFB9A91" w:rsidR="0067310D" w:rsidRDefault="00B65CBA" w:rsidP="006C0256">
      <w:r w:rsidRPr="006D41B6">
        <w:t>The Employee Expenses for FY 20</w:t>
      </w:r>
      <w:r>
        <w:t>17-18 and FY 2018-19</w:t>
      </w:r>
      <w:r w:rsidRPr="006D41B6">
        <w:t xml:space="preserve"> as computed by the Petitio</w:t>
      </w:r>
      <w:r w:rsidR="006C0256">
        <w:t>ner is shown in the table below</w:t>
      </w:r>
    </w:p>
    <w:p w14:paraId="7BD77ABC" w14:textId="2A637D8B" w:rsidR="0002209C" w:rsidRDefault="0002209C" w:rsidP="0002209C">
      <w:pPr>
        <w:pStyle w:val="Caption"/>
        <w:spacing w:after="240"/>
      </w:pPr>
      <w:bookmarkStart w:id="18" w:name="_Toc498423472"/>
      <w:r w:rsidRPr="00C66B01">
        <w:t xml:space="preserve">Table </w:t>
      </w:r>
      <w:fldSimple w:instr=" STYLEREF 1 \s ">
        <w:r w:rsidR="0045624D">
          <w:rPr>
            <w:noProof/>
          </w:rPr>
          <w:t>2</w:t>
        </w:r>
      </w:fldSimple>
      <w:r>
        <w:noBreakHyphen/>
      </w:r>
      <w:fldSimple w:instr=" SEQ Table \* ARABIC \s 1 ">
        <w:r w:rsidR="0045624D">
          <w:rPr>
            <w:noProof/>
          </w:rPr>
          <w:t>3</w:t>
        </w:r>
      </w:fldSimple>
      <w:r>
        <w:t>:</w:t>
      </w:r>
      <w:r w:rsidRPr="00C66B01">
        <w:t xml:space="preserve"> </w:t>
      </w:r>
      <w:r>
        <w:t xml:space="preserve">Projected </w:t>
      </w:r>
      <w:r w:rsidR="00632986">
        <w:t>Employee Expenses for</w:t>
      </w:r>
      <w:r w:rsidR="00067831">
        <w:t xml:space="preserve"> FY 2017-18 and</w:t>
      </w:r>
      <w:r w:rsidR="00632986">
        <w:t xml:space="preserve"> FY 2018-19</w:t>
      </w:r>
      <w:r w:rsidR="00DE6DDA">
        <w:t xml:space="preserve"> </w:t>
      </w:r>
      <w:r>
        <w:t xml:space="preserve">(Rs. </w:t>
      </w:r>
      <w:proofErr w:type="spellStart"/>
      <w:r>
        <w:t>Crore</w:t>
      </w:r>
      <w:proofErr w:type="spellEnd"/>
      <w:r>
        <w:t>)</w:t>
      </w:r>
      <w:bookmarkEnd w:id="18"/>
    </w:p>
    <w:tbl>
      <w:tblPr>
        <w:tblW w:w="5890" w:type="pct"/>
        <w:tblInd w:w="-714" w:type="dxa"/>
        <w:tblLayout w:type="fixed"/>
        <w:tblLook w:val="04A0" w:firstRow="1" w:lastRow="0" w:firstColumn="1" w:lastColumn="0" w:noHBand="0" w:noVBand="1"/>
      </w:tblPr>
      <w:tblGrid>
        <w:gridCol w:w="578"/>
        <w:gridCol w:w="1372"/>
        <w:gridCol w:w="999"/>
        <w:gridCol w:w="1559"/>
        <w:gridCol w:w="1844"/>
        <w:gridCol w:w="1981"/>
        <w:gridCol w:w="1137"/>
        <w:gridCol w:w="1417"/>
      </w:tblGrid>
      <w:tr w:rsidR="005E277E" w:rsidRPr="00632986" w14:paraId="3C513433" w14:textId="77777777" w:rsidTr="00B47CCA">
        <w:trPr>
          <w:trHeight w:val="330"/>
          <w:tblHeader/>
        </w:trPr>
        <w:tc>
          <w:tcPr>
            <w:tcW w:w="265" w:type="pct"/>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14:paraId="148C8373" w14:textId="77777777" w:rsidR="0029573D" w:rsidRPr="00632986" w:rsidRDefault="0029573D" w:rsidP="00632986">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Sr. No.</w:t>
            </w:r>
          </w:p>
        </w:tc>
        <w:tc>
          <w:tcPr>
            <w:tcW w:w="630" w:type="pct"/>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14:paraId="6D9B7DB5" w14:textId="77777777" w:rsidR="0029573D" w:rsidRPr="00632986" w:rsidRDefault="0029573D" w:rsidP="00632986">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Particulars</w:t>
            </w:r>
          </w:p>
        </w:tc>
        <w:tc>
          <w:tcPr>
            <w:tcW w:w="459" w:type="pct"/>
            <w:tcBorders>
              <w:top w:val="single" w:sz="4" w:space="0" w:color="auto"/>
              <w:left w:val="nil"/>
              <w:bottom w:val="single" w:sz="4" w:space="0" w:color="auto"/>
              <w:right w:val="single" w:sz="4" w:space="0" w:color="auto"/>
            </w:tcBorders>
            <w:shd w:val="clear" w:color="000000" w:fill="FABF8F"/>
          </w:tcPr>
          <w:p w14:paraId="01328C08" w14:textId="77777777" w:rsidR="0029573D" w:rsidRPr="00632986" w:rsidRDefault="0029573D" w:rsidP="00632986">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FY 2016-17</w:t>
            </w:r>
          </w:p>
        </w:tc>
        <w:tc>
          <w:tcPr>
            <w:tcW w:w="2995" w:type="pct"/>
            <w:gridSpan w:val="4"/>
            <w:tcBorders>
              <w:top w:val="single" w:sz="4" w:space="0" w:color="auto"/>
              <w:left w:val="single" w:sz="4" w:space="0" w:color="auto"/>
              <w:bottom w:val="single" w:sz="4" w:space="0" w:color="auto"/>
              <w:right w:val="single" w:sz="4" w:space="0" w:color="000000"/>
            </w:tcBorders>
            <w:shd w:val="clear" w:color="000000" w:fill="FABF8F"/>
            <w:noWrap/>
            <w:vAlign w:val="bottom"/>
            <w:hideMark/>
          </w:tcPr>
          <w:p w14:paraId="0B32CB60" w14:textId="77777777" w:rsidR="0029573D" w:rsidRPr="00632986" w:rsidRDefault="0029573D" w:rsidP="00632986">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FY 2017-18</w:t>
            </w:r>
            <w:r>
              <w:rPr>
                <w:rFonts w:eastAsia="Times New Roman" w:cs="Calibri"/>
                <w:b/>
                <w:bCs/>
                <w:color w:val="000000"/>
                <w:sz w:val="22"/>
                <w:lang w:val="en-GB" w:eastAsia="en-GB"/>
              </w:rPr>
              <w:t xml:space="preserve"> revised</w:t>
            </w:r>
          </w:p>
        </w:tc>
        <w:tc>
          <w:tcPr>
            <w:tcW w:w="651" w:type="pct"/>
            <w:tcBorders>
              <w:top w:val="single" w:sz="4" w:space="0" w:color="auto"/>
              <w:left w:val="nil"/>
              <w:bottom w:val="single" w:sz="4" w:space="0" w:color="auto"/>
              <w:right w:val="single" w:sz="4" w:space="0" w:color="auto"/>
            </w:tcBorders>
            <w:shd w:val="clear" w:color="000000" w:fill="FABF8F"/>
            <w:noWrap/>
            <w:vAlign w:val="bottom"/>
            <w:hideMark/>
          </w:tcPr>
          <w:p w14:paraId="36B0EBC2" w14:textId="77777777" w:rsidR="0029573D" w:rsidRPr="00632986" w:rsidRDefault="0029573D" w:rsidP="00632986">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FY 2018-19</w:t>
            </w:r>
          </w:p>
        </w:tc>
      </w:tr>
      <w:tr w:rsidR="00B47CCA" w:rsidRPr="00632986" w14:paraId="7B6A862D" w14:textId="77777777" w:rsidTr="00B47CCA">
        <w:trPr>
          <w:trHeight w:val="1215"/>
          <w:tblHeader/>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124C6C09" w14:textId="77777777" w:rsidR="0029573D" w:rsidRPr="00632986" w:rsidRDefault="0029573D" w:rsidP="00632986">
            <w:pPr>
              <w:spacing w:line="240" w:lineRule="auto"/>
              <w:jc w:val="left"/>
              <w:rPr>
                <w:rFonts w:eastAsia="Times New Roman" w:cs="Calibri"/>
                <w:b/>
                <w:bCs/>
                <w:color w:val="000000"/>
                <w:sz w:val="22"/>
                <w:lang w:val="en-GB" w:eastAsia="en-GB"/>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18D95124" w14:textId="77777777" w:rsidR="0029573D" w:rsidRPr="00632986" w:rsidRDefault="0029573D" w:rsidP="00632986">
            <w:pPr>
              <w:spacing w:line="240" w:lineRule="auto"/>
              <w:jc w:val="left"/>
              <w:rPr>
                <w:rFonts w:eastAsia="Times New Roman" w:cs="Calibri"/>
                <w:b/>
                <w:bCs/>
                <w:color w:val="000000"/>
                <w:sz w:val="22"/>
                <w:lang w:val="en-GB" w:eastAsia="en-GB"/>
              </w:rPr>
            </w:pPr>
          </w:p>
        </w:tc>
        <w:tc>
          <w:tcPr>
            <w:tcW w:w="459" w:type="pct"/>
            <w:tcBorders>
              <w:top w:val="single" w:sz="4" w:space="0" w:color="auto"/>
              <w:left w:val="nil"/>
              <w:bottom w:val="single" w:sz="4" w:space="0" w:color="auto"/>
              <w:right w:val="single" w:sz="4" w:space="0" w:color="auto"/>
            </w:tcBorders>
            <w:shd w:val="clear" w:color="000000" w:fill="FABF8F"/>
            <w:vAlign w:val="center"/>
          </w:tcPr>
          <w:p w14:paraId="640A8A92" w14:textId="77777777" w:rsidR="0029573D" w:rsidRPr="00632986" w:rsidRDefault="0029573D" w:rsidP="005E277E">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Actual</w:t>
            </w:r>
          </w:p>
        </w:tc>
        <w:tc>
          <w:tcPr>
            <w:tcW w:w="716" w:type="pct"/>
            <w:tcBorders>
              <w:top w:val="nil"/>
              <w:left w:val="single" w:sz="4" w:space="0" w:color="auto"/>
              <w:bottom w:val="single" w:sz="4" w:space="0" w:color="auto"/>
              <w:right w:val="single" w:sz="4" w:space="0" w:color="auto"/>
            </w:tcBorders>
            <w:shd w:val="clear" w:color="000000" w:fill="FABF8F"/>
            <w:vAlign w:val="bottom"/>
            <w:hideMark/>
          </w:tcPr>
          <w:p w14:paraId="03730199" w14:textId="77777777" w:rsidR="0029573D" w:rsidRPr="00632986" w:rsidRDefault="0029573D" w:rsidP="00632986">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Approved in Tariff Order dated 9 March, 2017</w:t>
            </w:r>
          </w:p>
        </w:tc>
        <w:tc>
          <w:tcPr>
            <w:tcW w:w="847" w:type="pct"/>
            <w:tcBorders>
              <w:top w:val="nil"/>
              <w:left w:val="nil"/>
              <w:bottom w:val="single" w:sz="4" w:space="0" w:color="auto"/>
              <w:right w:val="single" w:sz="4" w:space="0" w:color="auto"/>
            </w:tcBorders>
            <w:shd w:val="clear" w:color="000000" w:fill="FABF8F"/>
            <w:noWrap/>
            <w:vAlign w:val="center"/>
            <w:hideMark/>
          </w:tcPr>
          <w:p w14:paraId="7F34C02F" w14:textId="5E527B20" w:rsidR="0027074E" w:rsidRDefault="0029573D" w:rsidP="00632986">
            <w:pPr>
              <w:spacing w:line="240" w:lineRule="auto"/>
              <w:jc w:val="center"/>
              <w:rPr>
                <w:rFonts w:eastAsia="Times New Roman" w:cs="Calibri"/>
                <w:b/>
                <w:bCs/>
                <w:color w:val="000000"/>
                <w:sz w:val="22"/>
                <w:lang w:val="en-GB" w:eastAsia="en-GB"/>
              </w:rPr>
            </w:pPr>
            <w:proofErr w:type="spellStart"/>
            <w:r w:rsidRPr="00632986">
              <w:rPr>
                <w:rFonts w:eastAsia="Times New Roman" w:cs="Calibri"/>
                <w:b/>
                <w:bCs/>
                <w:color w:val="000000"/>
                <w:sz w:val="22"/>
                <w:lang w:val="en-GB" w:eastAsia="en-GB"/>
              </w:rPr>
              <w:t>Apr</w:t>
            </w:r>
            <w:r w:rsidR="0027074E">
              <w:rPr>
                <w:rFonts w:eastAsia="Times New Roman" w:cs="Calibri"/>
                <w:b/>
                <w:bCs/>
                <w:color w:val="000000"/>
                <w:sz w:val="22"/>
                <w:lang w:val="en-GB" w:eastAsia="en-GB"/>
              </w:rPr>
              <w:t>.'17</w:t>
            </w:r>
            <w:r w:rsidRPr="00632986">
              <w:rPr>
                <w:rFonts w:eastAsia="Times New Roman" w:cs="Calibri"/>
                <w:b/>
                <w:bCs/>
                <w:color w:val="000000"/>
                <w:sz w:val="22"/>
                <w:lang w:val="en-GB" w:eastAsia="en-GB"/>
              </w:rPr>
              <w:t>-Sept</w:t>
            </w:r>
            <w:r w:rsidR="0027074E">
              <w:rPr>
                <w:rFonts w:eastAsia="Times New Roman" w:cs="Calibri"/>
                <w:b/>
                <w:bCs/>
                <w:color w:val="000000"/>
                <w:sz w:val="22"/>
                <w:lang w:val="en-GB" w:eastAsia="en-GB"/>
              </w:rPr>
              <w:t>.'17</w:t>
            </w:r>
            <w:proofErr w:type="spellEnd"/>
            <w:r w:rsidRPr="00632986">
              <w:rPr>
                <w:rFonts w:eastAsia="Times New Roman" w:cs="Calibri"/>
                <w:b/>
                <w:bCs/>
                <w:color w:val="000000"/>
                <w:sz w:val="22"/>
                <w:lang w:val="en-GB" w:eastAsia="en-GB"/>
              </w:rPr>
              <w:t xml:space="preserve"> </w:t>
            </w:r>
          </w:p>
          <w:p w14:paraId="6E10F60A" w14:textId="25BDCDFA" w:rsidR="0029573D" w:rsidRPr="00632986" w:rsidRDefault="0029573D" w:rsidP="00632986">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(Actual)</w:t>
            </w:r>
          </w:p>
        </w:tc>
        <w:tc>
          <w:tcPr>
            <w:tcW w:w="910" w:type="pct"/>
            <w:tcBorders>
              <w:top w:val="nil"/>
              <w:left w:val="nil"/>
              <w:bottom w:val="single" w:sz="4" w:space="0" w:color="auto"/>
              <w:right w:val="single" w:sz="4" w:space="0" w:color="auto"/>
            </w:tcBorders>
            <w:shd w:val="clear" w:color="000000" w:fill="FABF8F"/>
            <w:noWrap/>
            <w:vAlign w:val="center"/>
            <w:hideMark/>
          </w:tcPr>
          <w:p w14:paraId="7D93AFE1" w14:textId="57CB9FA8" w:rsidR="0027074E" w:rsidRDefault="0027074E" w:rsidP="00632986">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Oct.'</w:t>
            </w:r>
            <w:proofErr w:type="spellStart"/>
            <w:r>
              <w:rPr>
                <w:rFonts w:eastAsia="Times New Roman" w:cs="Calibri"/>
                <w:b/>
                <w:bCs/>
                <w:color w:val="000000"/>
                <w:sz w:val="22"/>
                <w:lang w:val="en-GB" w:eastAsia="en-GB"/>
              </w:rPr>
              <w:t>17-March</w:t>
            </w:r>
            <w:proofErr w:type="spellEnd"/>
            <w:r>
              <w:rPr>
                <w:rFonts w:eastAsia="Times New Roman" w:cs="Calibri"/>
                <w:b/>
                <w:bCs/>
                <w:color w:val="000000"/>
                <w:sz w:val="22"/>
                <w:lang w:val="en-GB" w:eastAsia="en-GB"/>
              </w:rPr>
              <w:t>'18</w:t>
            </w:r>
            <w:r w:rsidR="0029573D" w:rsidRPr="00632986">
              <w:rPr>
                <w:rFonts w:eastAsia="Times New Roman" w:cs="Calibri"/>
                <w:b/>
                <w:bCs/>
                <w:color w:val="000000"/>
                <w:sz w:val="22"/>
                <w:lang w:val="en-GB" w:eastAsia="en-GB"/>
              </w:rPr>
              <w:t xml:space="preserve"> </w:t>
            </w:r>
          </w:p>
          <w:p w14:paraId="1BBBC4F6" w14:textId="25CF568E" w:rsidR="0029573D" w:rsidRPr="00632986" w:rsidRDefault="0029573D" w:rsidP="00632986">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(Estimated)</w:t>
            </w:r>
          </w:p>
        </w:tc>
        <w:tc>
          <w:tcPr>
            <w:tcW w:w="522" w:type="pct"/>
            <w:tcBorders>
              <w:top w:val="nil"/>
              <w:left w:val="nil"/>
              <w:bottom w:val="single" w:sz="4" w:space="0" w:color="auto"/>
              <w:right w:val="single" w:sz="4" w:space="0" w:color="auto"/>
            </w:tcBorders>
            <w:shd w:val="clear" w:color="000000" w:fill="FABF8F"/>
            <w:noWrap/>
            <w:vAlign w:val="center"/>
            <w:hideMark/>
          </w:tcPr>
          <w:p w14:paraId="0D7FD76E" w14:textId="77777777" w:rsidR="0029573D" w:rsidRPr="00632986" w:rsidRDefault="0029573D" w:rsidP="00632986">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Total (RE)</w:t>
            </w:r>
          </w:p>
        </w:tc>
        <w:tc>
          <w:tcPr>
            <w:tcW w:w="651" w:type="pct"/>
            <w:tcBorders>
              <w:top w:val="nil"/>
              <w:left w:val="nil"/>
              <w:bottom w:val="single" w:sz="4" w:space="0" w:color="auto"/>
              <w:right w:val="single" w:sz="4" w:space="0" w:color="auto"/>
            </w:tcBorders>
            <w:shd w:val="clear" w:color="000000" w:fill="FABF8F"/>
            <w:noWrap/>
            <w:vAlign w:val="center"/>
            <w:hideMark/>
          </w:tcPr>
          <w:p w14:paraId="7C784410" w14:textId="4F3A3E34" w:rsidR="0045511F" w:rsidRDefault="0045511F" w:rsidP="00632986">
            <w:pPr>
              <w:spacing w:line="240" w:lineRule="auto"/>
              <w:jc w:val="center"/>
              <w:rPr>
                <w:rFonts w:eastAsia="Times New Roman" w:cs="Calibri"/>
                <w:b/>
                <w:bCs/>
                <w:color w:val="000000"/>
                <w:sz w:val="22"/>
                <w:lang w:val="en-GB" w:eastAsia="en-GB"/>
              </w:rPr>
            </w:pPr>
          </w:p>
          <w:p w14:paraId="2CD8275B" w14:textId="77777777" w:rsidR="0029573D" w:rsidRPr="00632986" w:rsidRDefault="0045511F" w:rsidP="00632986">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Projections</w:t>
            </w:r>
          </w:p>
        </w:tc>
      </w:tr>
      <w:tr w:rsidR="00B47CCA" w:rsidRPr="00632986" w14:paraId="1C88496B" w14:textId="77777777" w:rsidTr="00B47CCA">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40AA6E6C" w14:textId="77777777" w:rsidR="0029573D" w:rsidRPr="00632986" w:rsidRDefault="0029573D" w:rsidP="00632986">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1</w:t>
            </w:r>
          </w:p>
        </w:tc>
        <w:tc>
          <w:tcPr>
            <w:tcW w:w="630" w:type="pct"/>
            <w:tcBorders>
              <w:top w:val="nil"/>
              <w:left w:val="nil"/>
              <w:bottom w:val="single" w:sz="4" w:space="0" w:color="auto"/>
              <w:right w:val="single" w:sz="4" w:space="0" w:color="auto"/>
            </w:tcBorders>
            <w:shd w:val="clear" w:color="auto" w:fill="auto"/>
            <w:vAlign w:val="center"/>
            <w:hideMark/>
          </w:tcPr>
          <w:p w14:paraId="655B0BA9" w14:textId="77777777" w:rsidR="0029573D" w:rsidRPr="00632986" w:rsidRDefault="0029573D" w:rsidP="00632986">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xml:space="preserve"> Employee Cost</w:t>
            </w:r>
          </w:p>
        </w:tc>
        <w:tc>
          <w:tcPr>
            <w:tcW w:w="459" w:type="pct"/>
            <w:tcBorders>
              <w:top w:val="single" w:sz="4" w:space="0" w:color="auto"/>
              <w:left w:val="nil"/>
              <w:bottom w:val="single" w:sz="4" w:space="0" w:color="auto"/>
              <w:right w:val="single" w:sz="4" w:space="0" w:color="auto"/>
            </w:tcBorders>
          </w:tcPr>
          <w:p w14:paraId="70DB37D8" w14:textId="77777777" w:rsidR="0029573D" w:rsidRDefault="0029573D" w:rsidP="00632986">
            <w:pPr>
              <w:spacing w:line="240" w:lineRule="auto"/>
              <w:jc w:val="right"/>
              <w:rPr>
                <w:rFonts w:eastAsia="Times New Roman" w:cs="Calibri"/>
                <w:color w:val="000000"/>
                <w:sz w:val="22"/>
                <w:lang w:val="en-GB" w:eastAsia="en-GB"/>
              </w:rPr>
            </w:pPr>
          </w:p>
        </w:tc>
        <w:tc>
          <w:tcPr>
            <w:tcW w:w="716" w:type="pct"/>
            <w:tcBorders>
              <w:top w:val="nil"/>
              <w:left w:val="single" w:sz="4" w:space="0" w:color="auto"/>
              <w:bottom w:val="single" w:sz="4" w:space="0" w:color="auto"/>
              <w:right w:val="single" w:sz="4" w:space="0" w:color="auto"/>
            </w:tcBorders>
            <w:shd w:val="clear" w:color="auto" w:fill="auto"/>
            <w:vAlign w:val="center"/>
            <w:hideMark/>
          </w:tcPr>
          <w:p w14:paraId="24FA576D" w14:textId="77777777" w:rsidR="0029573D" w:rsidRPr="00632986" w:rsidRDefault="0029573D" w:rsidP="00632986">
            <w:pPr>
              <w:spacing w:line="240" w:lineRule="auto"/>
              <w:jc w:val="right"/>
              <w:rPr>
                <w:rFonts w:eastAsia="Times New Roman" w:cs="Calibri"/>
                <w:color w:val="000000"/>
                <w:sz w:val="22"/>
                <w:lang w:val="en-GB" w:eastAsia="en-GB"/>
              </w:rPr>
            </w:pPr>
            <w:r>
              <w:rPr>
                <w:rFonts w:eastAsia="Times New Roman" w:cs="Calibri"/>
                <w:color w:val="000000"/>
                <w:sz w:val="22"/>
                <w:lang w:val="en-GB" w:eastAsia="en-GB"/>
              </w:rPr>
              <w:t>3.67</w:t>
            </w:r>
          </w:p>
        </w:tc>
        <w:tc>
          <w:tcPr>
            <w:tcW w:w="847" w:type="pct"/>
            <w:tcBorders>
              <w:top w:val="nil"/>
              <w:left w:val="nil"/>
              <w:bottom w:val="single" w:sz="4" w:space="0" w:color="auto"/>
              <w:right w:val="single" w:sz="4" w:space="0" w:color="auto"/>
            </w:tcBorders>
            <w:shd w:val="clear" w:color="auto" w:fill="auto"/>
            <w:vAlign w:val="center"/>
            <w:hideMark/>
          </w:tcPr>
          <w:p w14:paraId="32F8B11D" w14:textId="77777777" w:rsidR="0029573D" w:rsidRPr="00632986" w:rsidRDefault="0029573D" w:rsidP="00632986">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910" w:type="pct"/>
            <w:tcBorders>
              <w:top w:val="nil"/>
              <w:left w:val="nil"/>
              <w:bottom w:val="single" w:sz="4" w:space="0" w:color="auto"/>
              <w:right w:val="single" w:sz="4" w:space="0" w:color="auto"/>
            </w:tcBorders>
            <w:shd w:val="clear" w:color="auto" w:fill="auto"/>
            <w:vAlign w:val="center"/>
            <w:hideMark/>
          </w:tcPr>
          <w:p w14:paraId="09AF6813" w14:textId="77777777" w:rsidR="0029573D" w:rsidRPr="00632986" w:rsidRDefault="0029573D" w:rsidP="00632986">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r>
              <w:rPr>
                <w:rFonts w:eastAsia="Times New Roman" w:cs="Calibri"/>
                <w:color w:val="000000"/>
                <w:sz w:val="22"/>
                <w:lang w:val="en-GB" w:eastAsia="en-GB"/>
              </w:rPr>
              <w:t>3.39</w:t>
            </w:r>
          </w:p>
        </w:tc>
        <w:tc>
          <w:tcPr>
            <w:tcW w:w="522" w:type="pct"/>
            <w:tcBorders>
              <w:top w:val="nil"/>
              <w:left w:val="nil"/>
              <w:bottom w:val="single" w:sz="4" w:space="0" w:color="auto"/>
              <w:right w:val="single" w:sz="4" w:space="0" w:color="auto"/>
            </w:tcBorders>
            <w:shd w:val="clear" w:color="auto" w:fill="auto"/>
            <w:vAlign w:val="center"/>
            <w:hideMark/>
          </w:tcPr>
          <w:p w14:paraId="29385FC5" w14:textId="77777777" w:rsidR="0029573D" w:rsidRPr="00632986" w:rsidRDefault="0029573D" w:rsidP="00632986">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651" w:type="pct"/>
            <w:tcBorders>
              <w:top w:val="nil"/>
              <w:left w:val="nil"/>
              <w:bottom w:val="single" w:sz="4" w:space="0" w:color="auto"/>
              <w:right w:val="single" w:sz="4" w:space="0" w:color="auto"/>
            </w:tcBorders>
            <w:shd w:val="clear" w:color="auto" w:fill="auto"/>
            <w:vAlign w:val="center"/>
            <w:hideMark/>
          </w:tcPr>
          <w:p w14:paraId="72BECB40" w14:textId="77777777" w:rsidR="0029573D" w:rsidRPr="00632986" w:rsidRDefault="0029573D" w:rsidP="00632986">
            <w:pPr>
              <w:spacing w:line="240" w:lineRule="auto"/>
              <w:jc w:val="center"/>
              <w:rPr>
                <w:rFonts w:eastAsia="Times New Roman" w:cs="Calibri"/>
                <w:color w:val="000000"/>
                <w:sz w:val="22"/>
                <w:lang w:val="en-GB" w:eastAsia="en-GB"/>
              </w:rPr>
            </w:pPr>
            <w:r>
              <w:rPr>
                <w:rFonts w:eastAsia="Times New Roman" w:cs="Calibri"/>
                <w:b/>
                <w:bCs/>
                <w:color w:val="000000"/>
                <w:sz w:val="22"/>
                <w:lang w:val="en-GB" w:eastAsia="en-GB"/>
              </w:rPr>
              <w:t>6.8</w:t>
            </w:r>
            <w:r w:rsidRPr="00632986">
              <w:rPr>
                <w:rFonts w:eastAsia="Times New Roman" w:cs="Calibri"/>
                <w:b/>
                <w:bCs/>
                <w:color w:val="000000"/>
                <w:sz w:val="22"/>
                <w:lang w:val="en-GB" w:eastAsia="en-GB"/>
              </w:rPr>
              <w:t>4</w:t>
            </w:r>
          </w:p>
        </w:tc>
      </w:tr>
      <w:tr w:rsidR="00B47CCA" w:rsidRPr="00632986" w14:paraId="2AF95665" w14:textId="77777777" w:rsidTr="00B47CCA">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3754864" w14:textId="77777777" w:rsidR="0029573D" w:rsidRPr="00632986" w:rsidRDefault="0029573D" w:rsidP="00632986">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2</w:t>
            </w:r>
          </w:p>
        </w:tc>
        <w:tc>
          <w:tcPr>
            <w:tcW w:w="630" w:type="pct"/>
            <w:tcBorders>
              <w:top w:val="nil"/>
              <w:left w:val="nil"/>
              <w:bottom w:val="single" w:sz="4" w:space="0" w:color="auto"/>
              <w:right w:val="single" w:sz="4" w:space="0" w:color="auto"/>
            </w:tcBorders>
            <w:shd w:val="clear" w:color="auto" w:fill="auto"/>
            <w:vAlign w:val="center"/>
            <w:hideMark/>
          </w:tcPr>
          <w:p w14:paraId="3566F8D9" w14:textId="77777777" w:rsidR="0029573D" w:rsidRPr="00632986" w:rsidRDefault="0029573D" w:rsidP="00632986">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xml:space="preserve"> Indexation</w:t>
            </w:r>
          </w:p>
        </w:tc>
        <w:tc>
          <w:tcPr>
            <w:tcW w:w="459" w:type="pct"/>
            <w:tcBorders>
              <w:top w:val="single" w:sz="4" w:space="0" w:color="auto"/>
              <w:left w:val="nil"/>
              <w:bottom w:val="single" w:sz="4" w:space="0" w:color="auto"/>
              <w:right w:val="single" w:sz="4" w:space="0" w:color="auto"/>
            </w:tcBorders>
          </w:tcPr>
          <w:p w14:paraId="4A65727A" w14:textId="77777777" w:rsidR="0029573D" w:rsidRPr="00632986" w:rsidRDefault="0029573D" w:rsidP="00632986">
            <w:pPr>
              <w:spacing w:line="240" w:lineRule="auto"/>
              <w:jc w:val="right"/>
              <w:rPr>
                <w:rFonts w:eastAsia="Times New Roman" w:cs="Calibri"/>
                <w:color w:val="000000"/>
                <w:sz w:val="22"/>
                <w:lang w:val="en-GB" w:eastAsia="en-GB"/>
              </w:rPr>
            </w:pPr>
          </w:p>
        </w:tc>
        <w:tc>
          <w:tcPr>
            <w:tcW w:w="716" w:type="pct"/>
            <w:tcBorders>
              <w:top w:val="nil"/>
              <w:left w:val="single" w:sz="4" w:space="0" w:color="auto"/>
              <w:bottom w:val="single" w:sz="4" w:space="0" w:color="auto"/>
              <w:right w:val="single" w:sz="4" w:space="0" w:color="auto"/>
            </w:tcBorders>
            <w:shd w:val="clear" w:color="auto" w:fill="auto"/>
            <w:vAlign w:val="center"/>
            <w:hideMark/>
          </w:tcPr>
          <w:p w14:paraId="30E57D66" w14:textId="77777777" w:rsidR="0029573D" w:rsidRPr="00632986" w:rsidRDefault="0029573D" w:rsidP="00632986">
            <w:pPr>
              <w:spacing w:line="240" w:lineRule="auto"/>
              <w:jc w:val="right"/>
              <w:rPr>
                <w:rFonts w:eastAsia="Times New Roman" w:cs="Calibri"/>
                <w:color w:val="000000"/>
                <w:sz w:val="22"/>
                <w:lang w:val="en-GB" w:eastAsia="en-GB"/>
              </w:rPr>
            </w:pPr>
            <w:r w:rsidRPr="00632986">
              <w:rPr>
                <w:rFonts w:eastAsia="Times New Roman" w:cs="Calibri"/>
                <w:color w:val="000000"/>
                <w:sz w:val="22"/>
                <w:lang w:val="en-GB" w:eastAsia="en-GB"/>
              </w:rPr>
              <w:t>2.59%</w:t>
            </w:r>
          </w:p>
        </w:tc>
        <w:tc>
          <w:tcPr>
            <w:tcW w:w="847" w:type="pct"/>
            <w:tcBorders>
              <w:top w:val="nil"/>
              <w:left w:val="nil"/>
              <w:bottom w:val="single" w:sz="4" w:space="0" w:color="auto"/>
              <w:right w:val="single" w:sz="4" w:space="0" w:color="auto"/>
            </w:tcBorders>
            <w:shd w:val="clear" w:color="auto" w:fill="auto"/>
            <w:vAlign w:val="center"/>
            <w:hideMark/>
          </w:tcPr>
          <w:p w14:paraId="6F088C0B" w14:textId="77777777" w:rsidR="0029573D" w:rsidRPr="00632986" w:rsidRDefault="0029573D" w:rsidP="00632986">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910" w:type="pct"/>
            <w:tcBorders>
              <w:top w:val="nil"/>
              <w:left w:val="nil"/>
              <w:bottom w:val="single" w:sz="4" w:space="0" w:color="auto"/>
              <w:right w:val="single" w:sz="4" w:space="0" w:color="auto"/>
            </w:tcBorders>
            <w:shd w:val="clear" w:color="auto" w:fill="auto"/>
            <w:vAlign w:val="center"/>
            <w:hideMark/>
          </w:tcPr>
          <w:p w14:paraId="35F1619B" w14:textId="77777777" w:rsidR="0029573D" w:rsidRPr="00632986" w:rsidRDefault="0029573D" w:rsidP="00632986">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r>
              <w:rPr>
                <w:rFonts w:eastAsia="Times New Roman" w:cs="Calibri"/>
                <w:color w:val="000000"/>
                <w:sz w:val="22"/>
                <w:lang w:val="en-GB" w:eastAsia="en-GB"/>
              </w:rPr>
              <w:t>3.99%</w:t>
            </w:r>
          </w:p>
        </w:tc>
        <w:tc>
          <w:tcPr>
            <w:tcW w:w="522" w:type="pct"/>
            <w:tcBorders>
              <w:top w:val="nil"/>
              <w:left w:val="nil"/>
              <w:bottom w:val="single" w:sz="4" w:space="0" w:color="auto"/>
              <w:right w:val="single" w:sz="4" w:space="0" w:color="auto"/>
            </w:tcBorders>
            <w:shd w:val="clear" w:color="auto" w:fill="auto"/>
            <w:vAlign w:val="center"/>
            <w:hideMark/>
          </w:tcPr>
          <w:p w14:paraId="083A4876" w14:textId="77777777" w:rsidR="0029573D" w:rsidRPr="00632986" w:rsidRDefault="0029573D" w:rsidP="00632986">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651" w:type="pct"/>
            <w:tcBorders>
              <w:top w:val="nil"/>
              <w:left w:val="nil"/>
              <w:bottom w:val="single" w:sz="4" w:space="0" w:color="auto"/>
              <w:right w:val="single" w:sz="4" w:space="0" w:color="auto"/>
            </w:tcBorders>
            <w:shd w:val="clear" w:color="auto" w:fill="auto"/>
            <w:vAlign w:val="center"/>
            <w:hideMark/>
          </w:tcPr>
          <w:p w14:paraId="3EFA7F7B" w14:textId="77777777" w:rsidR="0029573D" w:rsidRPr="00632986" w:rsidRDefault="0029573D" w:rsidP="00632986">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r>
              <w:rPr>
                <w:rFonts w:eastAsia="Times New Roman" w:cs="Calibri"/>
                <w:color w:val="000000"/>
                <w:sz w:val="22"/>
                <w:lang w:val="en-GB" w:eastAsia="en-GB"/>
              </w:rPr>
              <w:t>3.99%</w:t>
            </w:r>
          </w:p>
        </w:tc>
      </w:tr>
      <w:tr w:rsidR="00B47CCA" w:rsidRPr="00632986" w14:paraId="5AE2270A" w14:textId="77777777" w:rsidTr="00B47CCA">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A7429D2" w14:textId="77777777" w:rsidR="0029573D" w:rsidRPr="00632986" w:rsidRDefault="0029573D" w:rsidP="00632986">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3</w:t>
            </w:r>
          </w:p>
        </w:tc>
        <w:tc>
          <w:tcPr>
            <w:tcW w:w="630" w:type="pct"/>
            <w:tcBorders>
              <w:top w:val="nil"/>
              <w:left w:val="nil"/>
              <w:bottom w:val="single" w:sz="4" w:space="0" w:color="auto"/>
              <w:right w:val="single" w:sz="4" w:space="0" w:color="auto"/>
            </w:tcBorders>
            <w:shd w:val="clear" w:color="auto" w:fill="auto"/>
            <w:vAlign w:val="center"/>
            <w:hideMark/>
          </w:tcPr>
          <w:p w14:paraId="157541EC" w14:textId="77777777" w:rsidR="0029573D" w:rsidRPr="00632986" w:rsidRDefault="0029573D" w:rsidP="00632986">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Add: Inflationary Increase</w:t>
            </w:r>
          </w:p>
        </w:tc>
        <w:tc>
          <w:tcPr>
            <w:tcW w:w="459" w:type="pct"/>
            <w:tcBorders>
              <w:top w:val="single" w:sz="4" w:space="0" w:color="auto"/>
              <w:left w:val="nil"/>
              <w:bottom w:val="single" w:sz="4" w:space="0" w:color="auto"/>
              <w:right w:val="single" w:sz="4" w:space="0" w:color="auto"/>
            </w:tcBorders>
          </w:tcPr>
          <w:p w14:paraId="4E6EAC09" w14:textId="77777777" w:rsidR="0029573D" w:rsidRDefault="0029573D" w:rsidP="00632986">
            <w:pPr>
              <w:spacing w:line="240" w:lineRule="auto"/>
              <w:jc w:val="right"/>
              <w:rPr>
                <w:rFonts w:eastAsia="Times New Roman" w:cs="Calibri"/>
                <w:color w:val="000000"/>
                <w:sz w:val="22"/>
                <w:lang w:val="en-GB" w:eastAsia="en-GB"/>
              </w:rPr>
            </w:pPr>
          </w:p>
        </w:tc>
        <w:tc>
          <w:tcPr>
            <w:tcW w:w="716" w:type="pct"/>
            <w:tcBorders>
              <w:top w:val="nil"/>
              <w:left w:val="single" w:sz="4" w:space="0" w:color="auto"/>
              <w:bottom w:val="single" w:sz="4" w:space="0" w:color="auto"/>
              <w:right w:val="single" w:sz="4" w:space="0" w:color="auto"/>
            </w:tcBorders>
            <w:shd w:val="clear" w:color="auto" w:fill="auto"/>
            <w:vAlign w:val="center"/>
            <w:hideMark/>
          </w:tcPr>
          <w:p w14:paraId="06CAC30B" w14:textId="77777777" w:rsidR="0029573D" w:rsidRPr="00632986" w:rsidRDefault="0029573D" w:rsidP="00632986">
            <w:pPr>
              <w:spacing w:line="240" w:lineRule="auto"/>
              <w:jc w:val="right"/>
              <w:rPr>
                <w:rFonts w:eastAsia="Times New Roman" w:cs="Calibri"/>
                <w:color w:val="000000"/>
                <w:sz w:val="22"/>
                <w:lang w:val="en-GB" w:eastAsia="en-GB"/>
              </w:rPr>
            </w:pPr>
            <w:r>
              <w:rPr>
                <w:rFonts w:eastAsia="Times New Roman" w:cs="Calibri"/>
                <w:color w:val="000000"/>
                <w:sz w:val="22"/>
                <w:lang w:val="en-GB" w:eastAsia="en-GB"/>
              </w:rPr>
              <w:t>0.10</w:t>
            </w:r>
          </w:p>
        </w:tc>
        <w:tc>
          <w:tcPr>
            <w:tcW w:w="847" w:type="pct"/>
            <w:tcBorders>
              <w:top w:val="nil"/>
              <w:left w:val="nil"/>
              <w:bottom w:val="single" w:sz="4" w:space="0" w:color="auto"/>
              <w:right w:val="single" w:sz="4" w:space="0" w:color="auto"/>
            </w:tcBorders>
            <w:shd w:val="clear" w:color="auto" w:fill="auto"/>
            <w:vAlign w:val="center"/>
            <w:hideMark/>
          </w:tcPr>
          <w:p w14:paraId="2BA93472" w14:textId="77777777" w:rsidR="0029573D" w:rsidRPr="00632986" w:rsidRDefault="0029573D" w:rsidP="00632986">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910" w:type="pct"/>
            <w:tcBorders>
              <w:top w:val="nil"/>
              <w:left w:val="nil"/>
              <w:bottom w:val="single" w:sz="4" w:space="0" w:color="auto"/>
              <w:right w:val="single" w:sz="4" w:space="0" w:color="auto"/>
            </w:tcBorders>
            <w:shd w:val="clear" w:color="auto" w:fill="auto"/>
            <w:vAlign w:val="center"/>
            <w:hideMark/>
          </w:tcPr>
          <w:p w14:paraId="154DBCC7" w14:textId="77777777" w:rsidR="0029573D" w:rsidRPr="00632986" w:rsidRDefault="0029573D" w:rsidP="00632986">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0.07</w:t>
            </w:r>
            <w:r w:rsidRPr="00632986">
              <w:rPr>
                <w:rFonts w:eastAsia="Times New Roman" w:cs="Calibri"/>
                <w:b/>
                <w:bCs/>
                <w:color w:val="000000"/>
                <w:sz w:val="22"/>
                <w:lang w:val="en-GB" w:eastAsia="en-GB"/>
              </w:rPr>
              <w:t> </w:t>
            </w:r>
          </w:p>
        </w:tc>
        <w:tc>
          <w:tcPr>
            <w:tcW w:w="522" w:type="pct"/>
            <w:tcBorders>
              <w:top w:val="nil"/>
              <w:left w:val="nil"/>
              <w:bottom w:val="single" w:sz="4" w:space="0" w:color="auto"/>
              <w:right w:val="single" w:sz="4" w:space="0" w:color="auto"/>
            </w:tcBorders>
            <w:shd w:val="clear" w:color="auto" w:fill="auto"/>
            <w:vAlign w:val="center"/>
            <w:hideMark/>
          </w:tcPr>
          <w:p w14:paraId="624FDD15" w14:textId="77777777" w:rsidR="0029573D" w:rsidRPr="00632986" w:rsidRDefault="0029573D" w:rsidP="00632986">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 </w:t>
            </w:r>
          </w:p>
        </w:tc>
        <w:tc>
          <w:tcPr>
            <w:tcW w:w="651" w:type="pct"/>
            <w:tcBorders>
              <w:top w:val="nil"/>
              <w:left w:val="nil"/>
              <w:bottom w:val="single" w:sz="4" w:space="0" w:color="auto"/>
              <w:right w:val="single" w:sz="4" w:space="0" w:color="auto"/>
            </w:tcBorders>
            <w:shd w:val="clear" w:color="auto" w:fill="auto"/>
            <w:vAlign w:val="center"/>
            <w:hideMark/>
          </w:tcPr>
          <w:p w14:paraId="2CE150B6" w14:textId="77777777" w:rsidR="0029573D" w:rsidRPr="00632986" w:rsidRDefault="0029573D" w:rsidP="00632986">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0.27</w:t>
            </w:r>
          </w:p>
        </w:tc>
      </w:tr>
      <w:tr w:rsidR="00B47CCA" w:rsidRPr="00632986" w14:paraId="0C8A6DB7" w14:textId="77777777" w:rsidTr="00B47CCA">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14:paraId="31008B11" w14:textId="77777777" w:rsidR="0029573D" w:rsidRPr="00632986" w:rsidRDefault="0029573D" w:rsidP="00632986">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4</w:t>
            </w:r>
          </w:p>
        </w:tc>
        <w:tc>
          <w:tcPr>
            <w:tcW w:w="630" w:type="pct"/>
            <w:tcBorders>
              <w:top w:val="nil"/>
              <w:left w:val="nil"/>
              <w:bottom w:val="single" w:sz="4" w:space="0" w:color="auto"/>
              <w:right w:val="single" w:sz="4" w:space="0" w:color="auto"/>
            </w:tcBorders>
            <w:shd w:val="clear" w:color="auto" w:fill="auto"/>
            <w:vAlign w:val="center"/>
            <w:hideMark/>
          </w:tcPr>
          <w:p w14:paraId="7CE3DC3F" w14:textId="77777777" w:rsidR="0029573D" w:rsidRPr="00632986" w:rsidRDefault="0029573D" w:rsidP="00632986">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Total Employee Cost</w:t>
            </w:r>
          </w:p>
        </w:tc>
        <w:tc>
          <w:tcPr>
            <w:tcW w:w="459" w:type="pct"/>
            <w:tcBorders>
              <w:top w:val="single" w:sz="4" w:space="0" w:color="auto"/>
              <w:left w:val="nil"/>
              <w:bottom w:val="single" w:sz="4" w:space="0" w:color="auto"/>
              <w:right w:val="single" w:sz="4" w:space="0" w:color="auto"/>
            </w:tcBorders>
            <w:vAlign w:val="center"/>
          </w:tcPr>
          <w:p w14:paraId="4C854B41" w14:textId="77777777" w:rsidR="0029573D" w:rsidRDefault="0029573D" w:rsidP="005E277E">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2.32</w:t>
            </w:r>
          </w:p>
        </w:tc>
        <w:tc>
          <w:tcPr>
            <w:tcW w:w="716" w:type="pct"/>
            <w:tcBorders>
              <w:top w:val="nil"/>
              <w:left w:val="single" w:sz="4" w:space="0" w:color="auto"/>
              <w:bottom w:val="single" w:sz="4" w:space="0" w:color="auto"/>
              <w:right w:val="single" w:sz="4" w:space="0" w:color="auto"/>
            </w:tcBorders>
            <w:shd w:val="clear" w:color="auto" w:fill="auto"/>
            <w:vAlign w:val="center"/>
            <w:hideMark/>
          </w:tcPr>
          <w:p w14:paraId="30A4EBE2" w14:textId="77777777" w:rsidR="0029573D" w:rsidRPr="00632986" w:rsidRDefault="0029573D" w:rsidP="00632986">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3.77</w:t>
            </w:r>
          </w:p>
        </w:tc>
        <w:tc>
          <w:tcPr>
            <w:tcW w:w="847" w:type="pct"/>
            <w:tcBorders>
              <w:top w:val="nil"/>
              <w:left w:val="nil"/>
              <w:bottom w:val="single" w:sz="4" w:space="0" w:color="auto"/>
              <w:right w:val="single" w:sz="4" w:space="0" w:color="auto"/>
            </w:tcBorders>
            <w:shd w:val="clear" w:color="auto" w:fill="auto"/>
            <w:vAlign w:val="center"/>
            <w:hideMark/>
          </w:tcPr>
          <w:p w14:paraId="41FA0CD3" w14:textId="77777777" w:rsidR="0029573D" w:rsidRPr="00632986" w:rsidRDefault="0029573D" w:rsidP="00632986">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3.39</w:t>
            </w:r>
          </w:p>
        </w:tc>
        <w:tc>
          <w:tcPr>
            <w:tcW w:w="910" w:type="pct"/>
            <w:tcBorders>
              <w:top w:val="nil"/>
              <w:left w:val="nil"/>
              <w:bottom w:val="single" w:sz="4" w:space="0" w:color="auto"/>
              <w:right w:val="single" w:sz="4" w:space="0" w:color="auto"/>
            </w:tcBorders>
            <w:shd w:val="clear" w:color="auto" w:fill="auto"/>
            <w:vAlign w:val="center"/>
            <w:hideMark/>
          </w:tcPr>
          <w:p w14:paraId="30CADEAF" w14:textId="77777777" w:rsidR="0029573D" w:rsidRPr="00632986" w:rsidRDefault="0029573D" w:rsidP="00632986">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3.45</w:t>
            </w:r>
          </w:p>
        </w:tc>
        <w:tc>
          <w:tcPr>
            <w:tcW w:w="522" w:type="pct"/>
            <w:tcBorders>
              <w:top w:val="nil"/>
              <w:left w:val="nil"/>
              <w:bottom w:val="single" w:sz="4" w:space="0" w:color="auto"/>
              <w:right w:val="single" w:sz="4" w:space="0" w:color="auto"/>
            </w:tcBorders>
            <w:shd w:val="clear" w:color="auto" w:fill="auto"/>
            <w:vAlign w:val="center"/>
            <w:hideMark/>
          </w:tcPr>
          <w:p w14:paraId="71CDA5DB" w14:textId="77777777" w:rsidR="0029573D" w:rsidRPr="00632986" w:rsidRDefault="0029573D" w:rsidP="00632986">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6.8</w:t>
            </w:r>
            <w:r w:rsidRPr="00632986">
              <w:rPr>
                <w:rFonts w:eastAsia="Times New Roman" w:cs="Calibri"/>
                <w:b/>
                <w:bCs/>
                <w:color w:val="000000"/>
                <w:sz w:val="22"/>
                <w:lang w:val="en-GB" w:eastAsia="en-GB"/>
              </w:rPr>
              <w:t>4</w:t>
            </w:r>
          </w:p>
        </w:tc>
        <w:tc>
          <w:tcPr>
            <w:tcW w:w="651" w:type="pct"/>
            <w:tcBorders>
              <w:top w:val="nil"/>
              <w:left w:val="nil"/>
              <w:bottom w:val="single" w:sz="4" w:space="0" w:color="auto"/>
              <w:right w:val="single" w:sz="4" w:space="0" w:color="auto"/>
            </w:tcBorders>
            <w:shd w:val="clear" w:color="auto" w:fill="auto"/>
            <w:vAlign w:val="center"/>
            <w:hideMark/>
          </w:tcPr>
          <w:p w14:paraId="7960AAEE" w14:textId="77777777" w:rsidR="0029573D" w:rsidRPr="00632986" w:rsidRDefault="0029573D" w:rsidP="00632986">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7.11</w:t>
            </w:r>
          </w:p>
        </w:tc>
      </w:tr>
    </w:tbl>
    <w:p w14:paraId="359FC5B2" w14:textId="77777777" w:rsidR="00B26C03" w:rsidRDefault="00B26C03" w:rsidP="00B26C03">
      <w:pPr>
        <w:pStyle w:val="Heading3"/>
        <w:numPr>
          <w:ilvl w:val="0"/>
          <w:numId w:val="0"/>
        </w:numPr>
        <w:ind w:left="720"/>
      </w:pPr>
    </w:p>
    <w:p w14:paraId="4D700AB1" w14:textId="77777777" w:rsidR="00B752F5" w:rsidRDefault="00B752F5" w:rsidP="00B752F5">
      <w:pPr>
        <w:pStyle w:val="Heading3"/>
      </w:pPr>
      <w:bookmarkStart w:id="19" w:name="_Toc498423460"/>
      <w:r>
        <w:t>Administration &amp; General Expenses</w:t>
      </w:r>
      <w:bookmarkEnd w:id="19"/>
    </w:p>
    <w:p w14:paraId="5E56F7A6" w14:textId="77777777" w:rsidR="0002209C" w:rsidRDefault="0002209C" w:rsidP="0002209C"/>
    <w:p w14:paraId="496782DB" w14:textId="77777777" w:rsidR="0002209C" w:rsidRDefault="0002209C" w:rsidP="0002209C">
      <w:r w:rsidRPr="005B1835">
        <w:t>Administration and General expenses mainly comprise costs towards rent charges, telephone and other communication expenses, professional charges, conveyance and travelling allowances and other debits.</w:t>
      </w:r>
    </w:p>
    <w:p w14:paraId="2313E673" w14:textId="77777777" w:rsidR="0002209C" w:rsidRDefault="0002209C" w:rsidP="0002209C">
      <w:pPr>
        <w:widowControl w:val="0"/>
        <w:tabs>
          <w:tab w:val="left" w:pos="981"/>
        </w:tabs>
        <w:spacing w:before="4" w:line="276" w:lineRule="auto"/>
        <w:ind w:left="993" w:right="216"/>
        <w:rPr>
          <w:rFonts w:cs="David"/>
          <w:lang w:eastAsia="x-none"/>
        </w:rPr>
      </w:pPr>
    </w:p>
    <w:p w14:paraId="7219D315" w14:textId="217C3CC2" w:rsidR="002D0FE9" w:rsidRDefault="002D0FE9" w:rsidP="000E6284">
      <w:r>
        <w:t xml:space="preserve">For Projecting </w:t>
      </w:r>
      <w:proofErr w:type="spellStart"/>
      <w:proofErr w:type="gramStart"/>
      <w:r>
        <w:t>A&amp;G</w:t>
      </w:r>
      <w:proofErr w:type="spellEnd"/>
      <w:proofErr w:type="gramEnd"/>
      <w:r>
        <w:t xml:space="preserve"> expenses the Petitioner has adopted the same approach as adopted by the Commission in its Tariff Order for FY 2017-18 dated 9 March, 2017. </w:t>
      </w:r>
      <w:r w:rsidR="000E6284" w:rsidRPr="006D41B6">
        <w:t>For projecti</w:t>
      </w:r>
      <w:r w:rsidR="000E6284">
        <w:t xml:space="preserve">ng </w:t>
      </w:r>
      <w:proofErr w:type="spellStart"/>
      <w:r w:rsidR="000E6284">
        <w:t>A&amp;G</w:t>
      </w:r>
      <w:proofErr w:type="spellEnd"/>
      <w:r w:rsidR="000E6284">
        <w:t xml:space="preserve"> expenses for FY 2017-18 (Oct., 2017 to March 2018) and FY 2018-19</w:t>
      </w:r>
      <w:r w:rsidR="000E6284" w:rsidRPr="006D41B6">
        <w:t xml:space="preserve">, the Petitioner has considered an increase of </w:t>
      </w:r>
      <w:r w:rsidR="000E6284">
        <w:t>3.99</w:t>
      </w:r>
      <w:r w:rsidR="000E6284" w:rsidRPr="006D41B6">
        <w:t>% per annum</w:t>
      </w:r>
      <w:r w:rsidR="000E6284">
        <w:t xml:space="preserve"> (based on CPI and </w:t>
      </w:r>
      <w:proofErr w:type="spellStart"/>
      <w:r w:rsidR="000E6284">
        <w:t>WPI</w:t>
      </w:r>
      <w:proofErr w:type="spellEnd"/>
      <w:r w:rsidR="000E6284">
        <w:t xml:space="preserve"> Index)</w:t>
      </w:r>
      <w:r w:rsidR="000E6284" w:rsidRPr="006D41B6">
        <w:t xml:space="preserve"> </w:t>
      </w:r>
      <w:r w:rsidR="000E6284">
        <w:t>over actual expenses for FY 2017-18 (April, 2017 to September, 2018)</w:t>
      </w:r>
      <w:r>
        <w:t xml:space="preserve"> because of the </w:t>
      </w:r>
      <w:r w:rsidR="0067310D">
        <w:t xml:space="preserve">aforementioned </w:t>
      </w:r>
      <w:r>
        <w:t>reason</w:t>
      </w:r>
      <w:r w:rsidR="0067310D">
        <w:t>s</w:t>
      </w:r>
      <w:r w:rsidR="000E6284" w:rsidRPr="006D41B6">
        <w:t>.</w:t>
      </w:r>
      <w:r w:rsidR="000E6284">
        <w:t xml:space="preserve"> </w:t>
      </w:r>
      <w:r>
        <w:t>Details of actual</w:t>
      </w:r>
      <w:r w:rsidRPr="00424CBC">
        <w:t xml:space="preserve"> </w:t>
      </w:r>
      <w:proofErr w:type="spellStart"/>
      <w:r>
        <w:t>A&amp;G</w:t>
      </w:r>
      <w:proofErr w:type="spellEnd"/>
      <w:r>
        <w:t xml:space="preserve"> expenses for first six month of FY 2017-18 (April, 2017 to September, 2018) are shown in the Table below:</w:t>
      </w:r>
    </w:p>
    <w:p w14:paraId="4A1D9423" w14:textId="77777777" w:rsidR="0092447A" w:rsidRDefault="0092447A" w:rsidP="0092447A">
      <w:pPr>
        <w:rPr>
          <w:b/>
        </w:rPr>
      </w:pPr>
    </w:p>
    <w:p w14:paraId="7229E6D8" w14:textId="77777777" w:rsidR="006C0256" w:rsidRDefault="006C0256" w:rsidP="0092447A">
      <w:pPr>
        <w:rPr>
          <w:b/>
        </w:rPr>
      </w:pPr>
    </w:p>
    <w:p w14:paraId="51E90C28" w14:textId="77777777" w:rsidR="0092447A" w:rsidRDefault="0092447A" w:rsidP="0092447A">
      <w:pPr>
        <w:rPr>
          <w:b/>
        </w:rPr>
      </w:pPr>
    </w:p>
    <w:p w14:paraId="16E4BCFC" w14:textId="77777777" w:rsidR="0092447A" w:rsidRDefault="0092447A" w:rsidP="0092447A">
      <w:pPr>
        <w:rPr>
          <w:b/>
        </w:rPr>
      </w:pPr>
    </w:p>
    <w:p w14:paraId="581B4954" w14:textId="4FA1BD6F" w:rsidR="0092447A" w:rsidRPr="00867820" w:rsidRDefault="0092447A" w:rsidP="0092447A">
      <w:pPr>
        <w:rPr>
          <w:b/>
        </w:rPr>
      </w:pPr>
      <w:bookmarkStart w:id="20" w:name="_Toc498423473"/>
      <w:r w:rsidRPr="00867820">
        <w:rPr>
          <w:b/>
        </w:rPr>
        <w:lastRenderedPageBreak/>
        <w:t xml:space="preserve">Table </w:t>
      </w:r>
      <w:r w:rsidRPr="00867820">
        <w:rPr>
          <w:b/>
        </w:rPr>
        <w:fldChar w:fldCharType="begin"/>
      </w:r>
      <w:r w:rsidRPr="00867820">
        <w:rPr>
          <w:b/>
        </w:rPr>
        <w:instrText xml:space="preserve"> STYLEREF 1 \s </w:instrText>
      </w:r>
      <w:r w:rsidRPr="00867820">
        <w:rPr>
          <w:b/>
        </w:rPr>
        <w:fldChar w:fldCharType="separate"/>
      </w:r>
      <w:r w:rsidR="0045624D">
        <w:rPr>
          <w:b/>
          <w:noProof/>
        </w:rPr>
        <w:t>2</w:t>
      </w:r>
      <w:r w:rsidRPr="00867820">
        <w:rPr>
          <w:b/>
          <w:noProof/>
        </w:rPr>
        <w:fldChar w:fldCharType="end"/>
      </w:r>
      <w:r w:rsidRPr="00867820">
        <w:rPr>
          <w:b/>
        </w:rPr>
        <w:noBreakHyphen/>
      </w:r>
      <w:r w:rsidRPr="00867820">
        <w:rPr>
          <w:b/>
        </w:rPr>
        <w:fldChar w:fldCharType="begin"/>
      </w:r>
      <w:r w:rsidRPr="00867820">
        <w:rPr>
          <w:b/>
        </w:rPr>
        <w:instrText xml:space="preserve"> SEQ Table \* ARABIC \s 1 </w:instrText>
      </w:r>
      <w:r w:rsidRPr="00867820">
        <w:rPr>
          <w:b/>
        </w:rPr>
        <w:fldChar w:fldCharType="separate"/>
      </w:r>
      <w:r w:rsidR="0045624D">
        <w:rPr>
          <w:b/>
          <w:noProof/>
        </w:rPr>
        <w:t>4</w:t>
      </w:r>
      <w:r w:rsidRPr="00867820">
        <w:rPr>
          <w:b/>
          <w:noProof/>
        </w:rPr>
        <w:fldChar w:fldCharType="end"/>
      </w:r>
      <w:r w:rsidRPr="00867820">
        <w:rPr>
          <w:b/>
        </w:rPr>
        <w:t xml:space="preserve">: Actual </w:t>
      </w:r>
      <w:proofErr w:type="spellStart"/>
      <w:proofErr w:type="gramStart"/>
      <w:r>
        <w:rPr>
          <w:b/>
        </w:rPr>
        <w:t>A&amp;G</w:t>
      </w:r>
      <w:proofErr w:type="spellEnd"/>
      <w:proofErr w:type="gramEnd"/>
      <w:r>
        <w:rPr>
          <w:b/>
        </w:rPr>
        <w:t xml:space="preserve"> expenses</w:t>
      </w:r>
      <w:r w:rsidRPr="00867820">
        <w:rPr>
          <w:b/>
        </w:rPr>
        <w:t xml:space="preserve"> for first six month of FY 2017-18 (April, 2017 to September, 2018) (</w:t>
      </w:r>
      <w:r>
        <w:rPr>
          <w:b/>
        </w:rPr>
        <w:t xml:space="preserve">in </w:t>
      </w:r>
      <w:r w:rsidRPr="00867820">
        <w:rPr>
          <w:b/>
        </w:rPr>
        <w:t>Rs</w:t>
      </w:r>
      <w:r>
        <w:rPr>
          <w:b/>
        </w:rPr>
        <w:t>.</w:t>
      </w:r>
      <w:r w:rsidRPr="00867820">
        <w:rPr>
          <w:b/>
        </w:rPr>
        <w:t>)</w:t>
      </w:r>
      <w:bookmarkEnd w:id="20"/>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480"/>
      </w:tblGrid>
      <w:tr w:rsidR="0092447A" w:rsidRPr="0092447A" w14:paraId="64F2F168" w14:textId="77777777" w:rsidTr="00CA386D">
        <w:trPr>
          <w:trHeight w:val="315"/>
        </w:trPr>
        <w:tc>
          <w:tcPr>
            <w:tcW w:w="3360" w:type="dxa"/>
            <w:shd w:val="clear" w:color="auto" w:fill="FABF8F" w:themeFill="accent6" w:themeFillTint="99"/>
            <w:hideMark/>
          </w:tcPr>
          <w:p w14:paraId="41590C19" w14:textId="77777777" w:rsidR="0092447A" w:rsidRPr="00CA386D" w:rsidRDefault="0092447A" w:rsidP="00CA386D">
            <w:pPr>
              <w:spacing w:line="240" w:lineRule="auto"/>
              <w:jc w:val="left"/>
              <w:rPr>
                <w:rFonts w:eastAsia="Times New Roman" w:cs="Arial"/>
                <w:b/>
                <w:bCs/>
                <w:color w:val="000000"/>
                <w:szCs w:val="24"/>
                <w:lang w:val="en-GB" w:eastAsia="en-GB"/>
              </w:rPr>
            </w:pPr>
            <w:r w:rsidRPr="00CA386D">
              <w:rPr>
                <w:rFonts w:eastAsia="Times New Roman" w:cs="Arial"/>
                <w:b/>
                <w:bCs/>
                <w:color w:val="000000"/>
                <w:szCs w:val="24"/>
                <w:lang w:val="en-GB" w:eastAsia="en-GB"/>
              </w:rPr>
              <w:t>Administrative &amp; General Expenses</w:t>
            </w:r>
          </w:p>
        </w:tc>
        <w:tc>
          <w:tcPr>
            <w:tcW w:w="1480" w:type="dxa"/>
            <w:shd w:val="clear" w:color="auto" w:fill="FABF8F" w:themeFill="accent6" w:themeFillTint="99"/>
            <w:noWrap/>
            <w:hideMark/>
          </w:tcPr>
          <w:p w14:paraId="1031E38A" w14:textId="0B383BB0" w:rsidR="0092447A" w:rsidRPr="00CA386D" w:rsidRDefault="0092447A" w:rsidP="0092447A">
            <w:pPr>
              <w:spacing w:line="240" w:lineRule="auto"/>
              <w:jc w:val="right"/>
              <w:rPr>
                <w:rFonts w:eastAsia="Times New Roman" w:cs="Arial"/>
                <w:b/>
                <w:bCs/>
                <w:color w:val="000000"/>
                <w:szCs w:val="24"/>
                <w:lang w:val="en-GB" w:eastAsia="en-GB"/>
              </w:rPr>
            </w:pPr>
            <w:r>
              <w:rPr>
                <w:rFonts w:eastAsia="Times New Roman" w:cs="Arial"/>
                <w:b/>
                <w:bCs/>
                <w:color w:val="000000"/>
                <w:szCs w:val="24"/>
                <w:lang w:val="en-GB" w:eastAsia="en-GB"/>
              </w:rPr>
              <w:t>Total</w:t>
            </w:r>
            <w:r w:rsidRPr="0092447A">
              <w:rPr>
                <w:rFonts w:eastAsia="Times New Roman" w:cs="Arial"/>
                <w:b/>
                <w:bCs/>
                <w:color w:val="000000"/>
                <w:szCs w:val="24"/>
                <w:lang w:val="en-GB" w:eastAsia="en-GB"/>
              </w:rPr>
              <w:t xml:space="preserve"> </w:t>
            </w:r>
          </w:p>
        </w:tc>
      </w:tr>
      <w:tr w:rsidR="0092447A" w:rsidRPr="0092447A" w14:paraId="246509C4" w14:textId="77777777" w:rsidTr="00CA386D">
        <w:trPr>
          <w:trHeight w:val="360"/>
        </w:trPr>
        <w:tc>
          <w:tcPr>
            <w:tcW w:w="3360" w:type="dxa"/>
            <w:shd w:val="clear" w:color="auto" w:fill="auto"/>
            <w:hideMark/>
          </w:tcPr>
          <w:p w14:paraId="57241F89"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Miscellaneous Expenses</w:t>
            </w:r>
          </w:p>
        </w:tc>
        <w:tc>
          <w:tcPr>
            <w:tcW w:w="1480" w:type="dxa"/>
            <w:shd w:val="clear" w:color="auto" w:fill="auto"/>
            <w:noWrap/>
            <w:hideMark/>
          </w:tcPr>
          <w:p w14:paraId="1FDAB52C" w14:textId="56F27672"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3627.00 </w:t>
            </w:r>
          </w:p>
        </w:tc>
      </w:tr>
      <w:tr w:rsidR="0092447A" w:rsidRPr="0092447A" w14:paraId="5469629B" w14:textId="77777777" w:rsidTr="00CA386D">
        <w:trPr>
          <w:trHeight w:val="270"/>
        </w:trPr>
        <w:tc>
          <w:tcPr>
            <w:tcW w:w="3360" w:type="dxa"/>
            <w:shd w:val="clear" w:color="auto" w:fill="auto"/>
            <w:hideMark/>
          </w:tcPr>
          <w:p w14:paraId="53346132"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Bank Charges</w:t>
            </w:r>
          </w:p>
        </w:tc>
        <w:tc>
          <w:tcPr>
            <w:tcW w:w="1480" w:type="dxa"/>
            <w:shd w:val="clear" w:color="auto" w:fill="auto"/>
            <w:noWrap/>
            <w:hideMark/>
          </w:tcPr>
          <w:p w14:paraId="1B818F76" w14:textId="0F4A66C0"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885.00 </w:t>
            </w:r>
          </w:p>
        </w:tc>
      </w:tr>
      <w:tr w:rsidR="0092447A" w:rsidRPr="0092447A" w14:paraId="06341A36" w14:textId="77777777" w:rsidTr="00CA386D">
        <w:trPr>
          <w:trHeight w:val="300"/>
        </w:trPr>
        <w:tc>
          <w:tcPr>
            <w:tcW w:w="3360" w:type="dxa"/>
            <w:shd w:val="clear" w:color="auto" w:fill="auto"/>
            <w:hideMark/>
          </w:tcPr>
          <w:p w14:paraId="69F8ABBF"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Books and Periodicals</w:t>
            </w:r>
          </w:p>
        </w:tc>
        <w:tc>
          <w:tcPr>
            <w:tcW w:w="1480" w:type="dxa"/>
            <w:shd w:val="clear" w:color="auto" w:fill="auto"/>
            <w:noWrap/>
            <w:hideMark/>
          </w:tcPr>
          <w:p w14:paraId="03E1BD9E" w14:textId="52D69BCB"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10340.00 </w:t>
            </w:r>
          </w:p>
        </w:tc>
      </w:tr>
      <w:tr w:rsidR="0092447A" w:rsidRPr="0092447A" w14:paraId="0F84B92E" w14:textId="77777777" w:rsidTr="00CA386D">
        <w:trPr>
          <w:trHeight w:val="315"/>
        </w:trPr>
        <w:tc>
          <w:tcPr>
            <w:tcW w:w="3360" w:type="dxa"/>
            <w:shd w:val="clear" w:color="auto" w:fill="auto"/>
            <w:hideMark/>
          </w:tcPr>
          <w:p w14:paraId="17DE4BDB"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Travelling Expenses</w:t>
            </w:r>
          </w:p>
        </w:tc>
        <w:tc>
          <w:tcPr>
            <w:tcW w:w="1480" w:type="dxa"/>
            <w:shd w:val="clear" w:color="auto" w:fill="auto"/>
            <w:noWrap/>
            <w:hideMark/>
          </w:tcPr>
          <w:p w14:paraId="4610D9EA" w14:textId="5BC36F26"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557407.00 </w:t>
            </w:r>
          </w:p>
        </w:tc>
      </w:tr>
      <w:tr w:rsidR="0092447A" w:rsidRPr="0092447A" w14:paraId="7FF9A0CA" w14:textId="77777777" w:rsidTr="00CA386D">
        <w:trPr>
          <w:trHeight w:val="435"/>
        </w:trPr>
        <w:tc>
          <w:tcPr>
            <w:tcW w:w="3360" w:type="dxa"/>
            <w:shd w:val="clear" w:color="auto" w:fill="auto"/>
            <w:hideMark/>
          </w:tcPr>
          <w:p w14:paraId="71C0E503"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Entertainment Expenses</w:t>
            </w:r>
          </w:p>
        </w:tc>
        <w:tc>
          <w:tcPr>
            <w:tcW w:w="1480" w:type="dxa"/>
            <w:shd w:val="clear" w:color="auto" w:fill="auto"/>
            <w:noWrap/>
            <w:hideMark/>
          </w:tcPr>
          <w:p w14:paraId="101E92FD" w14:textId="2C39E5F5"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55052.00 </w:t>
            </w:r>
          </w:p>
        </w:tc>
      </w:tr>
      <w:tr w:rsidR="0092447A" w:rsidRPr="0092447A" w14:paraId="5936066E" w14:textId="77777777" w:rsidTr="00CA386D">
        <w:trPr>
          <w:trHeight w:val="405"/>
        </w:trPr>
        <w:tc>
          <w:tcPr>
            <w:tcW w:w="3360" w:type="dxa"/>
            <w:shd w:val="clear" w:color="auto" w:fill="auto"/>
            <w:hideMark/>
          </w:tcPr>
          <w:p w14:paraId="269A5E05"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Telephone Expenses</w:t>
            </w:r>
          </w:p>
        </w:tc>
        <w:tc>
          <w:tcPr>
            <w:tcW w:w="1480" w:type="dxa"/>
            <w:shd w:val="clear" w:color="auto" w:fill="auto"/>
            <w:noWrap/>
            <w:hideMark/>
          </w:tcPr>
          <w:p w14:paraId="0B15AA61" w14:textId="23F045B4"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140615.00 </w:t>
            </w:r>
          </w:p>
        </w:tc>
      </w:tr>
      <w:tr w:rsidR="0092447A" w:rsidRPr="0092447A" w14:paraId="1BC37210" w14:textId="77777777" w:rsidTr="00CA386D">
        <w:trPr>
          <w:trHeight w:val="300"/>
        </w:trPr>
        <w:tc>
          <w:tcPr>
            <w:tcW w:w="3360" w:type="dxa"/>
            <w:shd w:val="clear" w:color="auto" w:fill="auto"/>
            <w:hideMark/>
          </w:tcPr>
          <w:p w14:paraId="08A196D6"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Electricity Charges</w:t>
            </w:r>
          </w:p>
        </w:tc>
        <w:tc>
          <w:tcPr>
            <w:tcW w:w="1480" w:type="dxa"/>
            <w:shd w:val="clear" w:color="auto" w:fill="auto"/>
            <w:noWrap/>
            <w:hideMark/>
          </w:tcPr>
          <w:p w14:paraId="3A24404C" w14:textId="61E51618"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1113642.00 </w:t>
            </w:r>
          </w:p>
        </w:tc>
      </w:tr>
      <w:tr w:rsidR="0092447A" w:rsidRPr="0092447A" w14:paraId="6F79E806" w14:textId="77777777" w:rsidTr="00CA386D">
        <w:trPr>
          <w:trHeight w:val="300"/>
        </w:trPr>
        <w:tc>
          <w:tcPr>
            <w:tcW w:w="3360" w:type="dxa"/>
            <w:shd w:val="clear" w:color="auto" w:fill="auto"/>
            <w:hideMark/>
          </w:tcPr>
          <w:p w14:paraId="33FB8A1C"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Printing and Stationery</w:t>
            </w:r>
          </w:p>
        </w:tc>
        <w:tc>
          <w:tcPr>
            <w:tcW w:w="1480" w:type="dxa"/>
            <w:shd w:val="clear" w:color="auto" w:fill="auto"/>
            <w:noWrap/>
            <w:hideMark/>
          </w:tcPr>
          <w:p w14:paraId="53EE13C9" w14:textId="250247CB"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20944.00 </w:t>
            </w:r>
          </w:p>
        </w:tc>
      </w:tr>
      <w:tr w:rsidR="0092447A" w:rsidRPr="0092447A" w14:paraId="744780DE" w14:textId="77777777" w:rsidTr="00CA386D">
        <w:trPr>
          <w:trHeight w:val="300"/>
        </w:trPr>
        <w:tc>
          <w:tcPr>
            <w:tcW w:w="3360" w:type="dxa"/>
            <w:shd w:val="clear" w:color="auto" w:fill="auto"/>
            <w:hideMark/>
          </w:tcPr>
          <w:p w14:paraId="32C71E80"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Free Electricity</w:t>
            </w:r>
          </w:p>
        </w:tc>
        <w:tc>
          <w:tcPr>
            <w:tcW w:w="1480" w:type="dxa"/>
            <w:shd w:val="clear" w:color="auto" w:fill="auto"/>
            <w:noWrap/>
            <w:hideMark/>
          </w:tcPr>
          <w:p w14:paraId="1BE9D2C5" w14:textId="3309A8CD"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41079.00 </w:t>
            </w:r>
          </w:p>
        </w:tc>
      </w:tr>
      <w:tr w:rsidR="0092447A" w:rsidRPr="0092447A" w14:paraId="20622CE2" w14:textId="77777777" w:rsidTr="00CA386D">
        <w:trPr>
          <w:trHeight w:val="300"/>
        </w:trPr>
        <w:tc>
          <w:tcPr>
            <w:tcW w:w="3360" w:type="dxa"/>
            <w:shd w:val="clear" w:color="auto" w:fill="auto"/>
            <w:hideMark/>
          </w:tcPr>
          <w:p w14:paraId="7627B26A"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Vehicle Hiring Expenses</w:t>
            </w:r>
          </w:p>
        </w:tc>
        <w:tc>
          <w:tcPr>
            <w:tcW w:w="1480" w:type="dxa"/>
            <w:shd w:val="clear" w:color="auto" w:fill="auto"/>
            <w:noWrap/>
            <w:hideMark/>
          </w:tcPr>
          <w:p w14:paraId="6BF490C1" w14:textId="49A9E2DF"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307032.00 </w:t>
            </w:r>
          </w:p>
        </w:tc>
      </w:tr>
      <w:tr w:rsidR="0092447A" w:rsidRPr="0092447A" w14:paraId="00D8914F" w14:textId="77777777" w:rsidTr="00CA386D">
        <w:trPr>
          <w:trHeight w:val="300"/>
        </w:trPr>
        <w:tc>
          <w:tcPr>
            <w:tcW w:w="3360" w:type="dxa"/>
            <w:shd w:val="clear" w:color="auto" w:fill="auto"/>
            <w:hideMark/>
          </w:tcPr>
          <w:p w14:paraId="71609BD0" w14:textId="77777777" w:rsidR="0092447A" w:rsidRPr="00CA386D" w:rsidRDefault="0092447A" w:rsidP="00CA386D">
            <w:pPr>
              <w:spacing w:line="240" w:lineRule="auto"/>
              <w:jc w:val="left"/>
              <w:rPr>
                <w:rFonts w:eastAsia="Times New Roman" w:cs="Arial"/>
                <w:color w:val="000000"/>
                <w:szCs w:val="24"/>
                <w:lang w:val="en-GB" w:eastAsia="en-GB"/>
              </w:rPr>
            </w:pPr>
            <w:r w:rsidRPr="00CA386D">
              <w:rPr>
                <w:rFonts w:eastAsia="Times New Roman" w:cs="Arial"/>
                <w:color w:val="000000"/>
                <w:szCs w:val="24"/>
                <w:lang w:val="en-GB" w:eastAsia="en-GB"/>
              </w:rPr>
              <w:t>Rates &amp; Taxes</w:t>
            </w:r>
          </w:p>
        </w:tc>
        <w:tc>
          <w:tcPr>
            <w:tcW w:w="1480" w:type="dxa"/>
            <w:shd w:val="clear" w:color="auto" w:fill="auto"/>
            <w:noWrap/>
            <w:hideMark/>
          </w:tcPr>
          <w:p w14:paraId="22465FDE" w14:textId="01D61A55" w:rsidR="0092447A" w:rsidRPr="00CA386D" w:rsidRDefault="0092447A" w:rsidP="0092447A">
            <w:pPr>
              <w:spacing w:line="240" w:lineRule="auto"/>
              <w:jc w:val="right"/>
              <w:rPr>
                <w:rFonts w:eastAsia="Times New Roman" w:cs="Arial"/>
                <w:color w:val="000000"/>
                <w:szCs w:val="24"/>
                <w:lang w:val="en-GB" w:eastAsia="en-GB"/>
              </w:rPr>
            </w:pPr>
            <w:r w:rsidRPr="0092447A">
              <w:rPr>
                <w:rFonts w:eastAsia="Times New Roman" w:cs="Arial"/>
                <w:color w:val="000000"/>
                <w:szCs w:val="24"/>
                <w:lang w:val="en-GB" w:eastAsia="en-GB"/>
              </w:rPr>
              <w:t xml:space="preserve">740.00 </w:t>
            </w:r>
          </w:p>
        </w:tc>
      </w:tr>
      <w:tr w:rsidR="0092447A" w:rsidRPr="0092447A" w14:paraId="19C13464" w14:textId="77777777" w:rsidTr="00CA386D">
        <w:trPr>
          <w:trHeight w:val="300"/>
        </w:trPr>
        <w:tc>
          <w:tcPr>
            <w:tcW w:w="3360" w:type="dxa"/>
            <w:shd w:val="clear" w:color="auto" w:fill="auto"/>
          </w:tcPr>
          <w:p w14:paraId="3FB10673" w14:textId="5A7A9A94" w:rsidR="0092447A" w:rsidRPr="00CA386D" w:rsidRDefault="0092447A" w:rsidP="00CA386D">
            <w:pPr>
              <w:spacing w:line="240" w:lineRule="auto"/>
              <w:jc w:val="left"/>
              <w:rPr>
                <w:rFonts w:eastAsia="Times New Roman" w:cs="Arial"/>
                <w:b/>
                <w:color w:val="000000"/>
                <w:szCs w:val="24"/>
                <w:lang w:val="en-GB" w:eastAsia="en-GB"/>
              </w:rPr>
            </w:pPr>
            <w:r w:rsidRPr="00CA386D">
              <w:rPr>
                <w:rFonts w:eastAsia="Times New Roman" w:cs="Arial"/>
                <w:b/>
                <w:color w:val="000000"/>
                <w:szCs w:val="24"/>
                <w:lang w:val="en-GB" w:eastAsia="en-GB"/>
              </w:rPr>
              <w:t>Total</w:t>
            </w:r>
          </w:p>
        </w:tc>
        <w:tc>
          <w:tcPr>
            <w:tcW w:w="1480" w:type="dxa"/>
            <w:shd w:val="clear" w:color="auto" w:fill="auto"/>
            <w:noWrap/>
          </w:tcPr>
          <w:p w14:paraId="05514498" w14:textId="44896D5F" w:rsidR="0092447A" w:rsidRPr="00CA386D" w:rsidRDefault="0092447A" w:rsidP="0092447A">
            <w:pPr>
              <w:spacing w:line="240" w:lineRule="auto"/>
              <w:jc w:val="right"/>
              <w:rPr>
                <w:rFonts w:eastAsia="Times New Roman" w:cs="Arial"/>
                <w:b/>
                <w:color w:val="000000"/>
                <w:szCs w:val="24"/>
                <w:lang w:val="en-GB" w:eastAsia="en-GB"/>
              </w:rPr>
            </w:pPr>
            <w:r w:rsidRPr="00CA386D">
              <w:rPr>
                <w:rFonts w:eastAsia="Times New Roman" w:cs="Arial"/>
                <w:b/>
                <w:color w:val="000000"/>
                <w:szCs w:val="24"/>
                <w:lang w:val="en-GB" w:eastAsia="en-GB"/>
              </w:rPr>
              <w:t>2814406.00</w:t>
            </w:r>
          </w:p>
        </w:tc>
      </w:tr>
    </w:tbl>
    <w:p w14:paraId="425AFE96" w14:textId="020CBABC" w:rsidR="002D0FE9" w:rsidRDefault="002D0FE9" w:rsidP="000E6284"/>
    <w:p w14:paraId="0237EDB3" w14:textId="4C89EE9E" w:rsidR="005E277E" w:rsidRDefault="000E6284" w:rsidP="006C0256">
      <w:r w:rsidRPr="006D41B6">
        <w:t xml:space="preserve">The </w:t>
      </w:r>
      <w:proofErr w:type="spellStart"/>
      <w:r>
        <w:t>A&amp;G</w:t>
      </w:r>
      <w:proofErr w:type="spellEnd"/>
      <w:r w:rsidRPr="006D41B6">
        <w:t xml:space="preserve"> Expenses for FY 20</w:t>
      </w:r>
      <w:r>
        <w:t>17-18 and FY 2018-19</w:t>
      </w:r>
      <w:r w:rsidRPr="006D41B6">
        <w:t xml:space="preserve"> as computed by the Petitioner </w:t>
      </w:r>
      <w:proofErr w:type="gramStart"/>
      <w:r w:rsidRPr="006D41B6">
        <w:t>is</w:t>
      </w:r>
      <w:proofErr w:type="gramEnd"/>
      <w:r w:rsidRPr="006D41B6">
        <w:t xml:space="preserve"> shown in the table below:</w:t>
      </w:r>
    </w:p>
    <w:p w14:paraId="629410DE" w14:textId="77777777" w:rsidR="006C0256" w:rsidRDefault="006C0256" w:rsidP="006C0256"/>
    <w:p w14:paraId="36A6AAE5" w14:textId="45D41084" w:rsidR="001318EC" w:rsidRDefault="001318EC" w:rsidP="001318EC">
      <w:pPr>
        <w:pStyle w:val="Caption"/>
        <w:spacing w:after="240"/>
      </w:pPr>
      <w:bookmarkStart w:id="21" w:name="_Toc498423474"/>
      <w:r w:rsidRPr="00C66B01">
        <w:t xml:space="preserve">Table </w:t>
      </w:r>
      <w:fldSimple w:instr=" STYLEREF 1 \s ">
        <w:r w:rsidR="0045624D">
          <w:rPr>
            <w:noProof/>
          </w:rPr>
          <w:t>2</w:t>
        </w:r>
      </w:fldSimple>
      <w:r>
        <w:noBreakHyphen/>
      </w:r>
      <w:fldSimple w:instr=" SEQ Table \* ARABIC \s 1 ">
        <w:r w:rsidR="0045624D">
          <w:rPr>
            <w:noProof/>
          </w:rPr>
          <w:t>5</w:t>
        </w:r>
      </w:fldSimple>
      <w:r>
        <w:t>:</w:t>
      </w:r>
      <w:r w:rsidRPr="00C66B01">
        <w:t xml:space="preserve"> </w:t>
      </w:r>
      <w:r w:rsidR="000E6284">
        <w:t xml:space="preserve">Projected </w:t>
      </w:r>
      <w:proofErr w:type="spellStart"/>
      <w:proofErr w:type="gramStart"/>
      <w:r w:rsidR="000E6284">
        <w:t>A&amp;G</w:t>
      </w:r>
      <w:proofErr w:type="spellEnd"/>
      <w:proofErr w:type="gramEnd"/>
      <w:r w:rsidR="000E6284">
        <w:t xml:space="preserve"> expenses for</w:t>
      </w:r>
      <w:r w:rsidR="00067831" w:rsidRPr="00067831">
        <w:t xml:space="preserve"> </w:t>
      </w:r>
      <w:r w:rsidR="00067831">
        <w:t>FY 2017-18 and</w:t>
      </w:r>
      <w:r w:rsidR="000E6284">
        <w:t xml:space="preserve"> FY 2018-19</w:t>
      </w:r>
      <w:r w:rsidR="00DE6DDA">
        <w:t xml:space="preserve"> </w:t>
      </w:r>
      <w:r>
        <w:t xml:space="preserve">(Rs. </w:t>
      </w:r>
      <w:proofErr w:type="spellStart"/>
      <w:r>
        <w:t>Crore</w:t>
      </w:r>
      <w:proofErr w:type="spellEnd"/>
      <w:r>
        <w:t>)</w:t>
      </w:r>
      <w:bookmarkEnd w:id="21"/>
    </w:p>
    <w:tbl>
      <w:tblPr>
        <w:tblW w:w="5813" w:type="pct"/>
        <w:tblInd w:w="-714" w:type="dxa"/>
        <w:tblLayout w:type="fixed"/>
        <w:tblLook w:val="04A0" w:firstRow="1" w:lastRow="0" w:firstColumn="1" w:lastColumn="0" w:noHBand="0" w:noVBand="1"/>
      </w:tblPr>
      <w:tblGrid>
        <w:gridCol w:w="576"/>
        <w:gridCol w:w="1369"/>
        <w:gridCol w:w="877"/>
        <w:gridCol w:w="1517"/>
        <w:gridCol w:w="1784"/>
        <w:gridCol w:w="1930"/>
        <w:gridCol w:w="1418"/>
        <w:gridCol w:w="1274"/>
      </w:tblGrid>
      <w:tr w:rsidR="005E277E" w:rsidRPr="00632986" w14:paraId="14EAC99B" w14:textId="77777777" w:rsidTr="0027074E">
        <w:trPr>
          <w:trHeight w:val="330"/>
          <w:tblHeader/>
        </w:trPr>
        <w:tc>
          <w:tcPr>
            <w:tcW w:w="268" w:type="pct"/>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14:paraId="32F6D5E2" w14:textId="77777777" w:rsidR="005E277E" w:rsidRPr="00632986" w:rsidRDefault="005E277E" w:rsidP="005E277E">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Sr. No.</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14:paraId="4277FC8B" w14:textId="77777777" w:rsidR="005E277E" w:rsidRPr="00632986" w:rsidRDefault="005E277E" w:rsidP="005E277E">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Particulars</w:t>
            </w:r>
          </w:p>
        </w:tc>
        <w:tc>
          <w:tcPr>
            <w:tcW w:w="408" w:type="pct"/>
            <w:tcBorders>
              <w:top w:val="single" w:sz="4" w:space="0" w:color="auto"/>
              <w:left w:val="nil"/>
              <w:bottom w:val="single" w:sz="4" w:space="0" w:color="auto"/>
              <w:right w:val="single" w:sz="4" w:space="0" w:color="auto"/>
            </w:tcBorders>
            <w:shd w:val="clear" w:color="000000" w:fill="FABF8F"/>
          </w:tcPr>
          <w:p w14:paraId="1020383E" w14:textId="77777777" w:rsidR="005E277E" w:rsidRPr="00632986" w:rsidRDefault="005E277E" w:rsidP="005E277E">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FY 2016-17</w:t>
            </w:r>
          </w:p>
        </w:tc>
        <w:tc>
          <w:tcPr>
            <w:tcW w:w="3094" w:type="pct"/>
            <w:gridSpan w:val="4"/>
            <w:tcBorders>
              <w:top w:val="single" w:sz="4" w:space="0" w:color="auto"/>
              <w:left w:val="single" w:sz="4" w:space="0" w:color="auto"/>
              <w:bottom w:val="single" w:sz="4" w:space="0" w:color="auto"/>
              <w:right w:val="single" w:sz="4" w:space="0" w:color="000000"/>
            </w:tcBorders>
            <w:shd w:val="clear" w:color="000000" w:fill="FABF8F"/>
            <w:noWrap/>
            <w:vAlign w:val="bottom"/>
            <w:hideMark/>
          </w:tcPr>
          <w:p w14:paraId="3F1A4A89" w14:textId="77777777" w:rsidR="005E277E" w:rsidRPr="00632986" w:rsidRDefault="005E277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FY 2017-18</w:t>
            </w:r>
            <w:r>
              <w:rPr>
                <w:rFonts w:eastAsia="Times New Roman" w:cs="Calibri"/>
                <w:b/>
                <w:bCs/>
                <w:color w:val="000000"/>
                <w:sz w:val="22"/>
                <w:lang w:val="en-GB" w:eastAsia="en-GB"/>
              </w:rPr>
              <w:t xml:space="preserve"> revised</w:t>
            </w:r>
          </w:p>
        </w:tc>
        <w:tc>
          <w:tcPr>
            <w:tcW w:w="593" w:type="pct"/>
            <w:tcBorders>
              <w:top w:val="single" w:sz="4" w:space="0" w:color="auto"/>
              <w:left w:val="nil"/>
              <w:bottom w:val="single" w:sz="4" w:space="0" w:color="auto"/>
              <w:right w:val="single" w:sz="4" w:space="0" w:color="auto"/>
            </w:tcBorders>
            <w:shd w:val="clear" w:color="000000" w:fill="FABF8F"/>
            <w:noWrap/>
            <w:vAlign w:val="bottom"/>
            <w:hideMark/>
          </w:tcPr>
          <w:p w14:paraId="6EAA4375" w14:textId="77777777" w:rsidR="005E277E" w:rsidRPr="00632986" w:rsidRDefault="005E277E" w:rsidP="005E277E">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FY 2018-19</w:t>
            </w:r>
          </w:p>
        </w:tc>
      </w:tr>
      <w:tr w:rsidR="0027074E" w:rsidRPr="00632986" w14:paraId="38DF67CF" w14:textId="77777777" w:rsidTr="0027074E">
        <w:trPr>
          <w:trHeight w:val="1215"/>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E44FA95" w14:textId="77777777" w:rsidR="0027074E" w:rsidRPr="00632986" w:rsidRDefault="0027074E" w:rsidP="005E277E">
            <w:pPr>
              <w:spacing w:line="240" w:lineRule="auto"/>
              <w:jc w:val="left"/>
              <w:rPr>
                <w:rFonts w:eastAsia="Times New Roman" w:cs="Calibri"/>
                <w:b/>
                <w:bCs/>
                <w:color w:val="000000"/>
                <w:sz w:val="22"/>
                <w:lang w:val="en-GB" w:eastAsia="en-GB"/>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074DCD3F" w14:textId="77777777" w:rsidR="0027074E" w:rsidRPr="00632986" w:rsidRDefault="0027074E" w:rsidP="005E277E">
            <w:pPr>
              <w:spacing w:line="240" w:lineRule="auto"/>
              <w:jc w:val="left"/>
              <w:rPr>
                <w:rFonts w:eastAsia="Times New Roman" w:cs="Calibri"/>
                <w:b/>
                <w:bCs/>
                <w:color w:val="000000"/>
                <w:sz w:val="22"/>
                <w:lang w:val="en-GB" w:eastAsia="en-GB"/>
              </w:rPr>
            </w:pPr>
          </w:p>
        </w:tc>
        <w:tc>
          <w:tcPr>
            <w:tcW w:w="408" w:type="pct"/>
            <w:tcBorders>
              <w:top w:val="single" w:sz="4" w:space="0" w:color="auto"/>
              <w:left w:val="nil"/>
              <w:bottom w:val="single" w:sz="4" w:space="0" w:color="auto"/>
              <w:right w:val="single" w:sz="4" w:space="0" w:color="auto"/>
            </w:tcBorders>
            <w:shd w:val="clear" w:color="000000" w:fill="FABF8F"/>
            <w:vAlign w:val="center"/>
          </w:tcPr>
          <w:p w14:paraId="4EC79652" w14:textId="77777777" w:rsidR="0027074E" w:rsidRPr="00632986" w:rsidRDefault="0027074E" w:rsidP="005E277E">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Actual</w:t>
            </w:r>
          </w:p>
        </w:tc>
        <w:tc>
          <w:tcPr>
            <w:tcW w:w="706" w:type="pct"/>
            <w:tcBorders>
              <w:top w:val="nil"/>
              <w:left w:val="single" w:sz="4" w:space="0" w:color="auto"/>
              <w:bottom w:val="single" w:sz="4" w:space="0" w:color="auto"/>
              <w:right w:val="single" w:sz="4" w:space="0" w:color="auto"/>
            </w:tcBorders>
            <w:shd w:val="clear" w:color="000000" w:fill="FABF8F"/>
            <w:vAlign w:val="bottom"/>
            <w:hideMark/>
          </w:tcPr>
          <w:p w14:paraId="59DE969D" w14:textId="77777777"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Approved in Tariff Order dated 9 March, 2017</w:t>
            </w:r>
          </w:p>
        </w:tc>
        <w:tc>
          <w:tcPr>
            <w:tcW w:w="830" w:type="pct"/>
            <w:tcBorders>
              <w:top w:val="nil"/>
              <w:left w:val="nil"/>
              <w:bottom w:val="single" w:sz="4" w:space="0" w:color="auto"/>
              <w:right w:val="single" w:sz="4" w:space="0" w:color="auto"/>
            </w:tcBorders>
            <w:shd w:val="clear" w:color="000000" w:fill="FABF8F"/>
            <w:noWrap/>
            <w:vAlign w:val="center"/>
            <w:hideMark/>
          </w:tcPr>
          <w:p w14:paraId="1E8A533C" w14:textId="77777777" w:rsidR="0027074E" w:rsidRDefault="0027074E" w:rsidP="0027074E">
            <w:pPr>
              <w:spacing w:line="240" w:lineRule="auto"/>
              <w:jc w:val="center"/>
              <w:rPr>
                <w:rFonts w:eastAsia="Times New Roman" w:cs="Calibri"/>
                <w:b/>
                <w:bCs/>
                <w:color w:val="000000"/>
                <w:sz w:val="22"/>
                <w:lang w:val="en-GB" w:eastAsia="en-GB"/>
              </w:rPr>
            </w:pPr>
            <w:proofErr w:type="spellStart"/>
            <w:r w:rsidRPr="00632986">
              <w:rPr>
                <w:rFonts w:eastAsia="Times New Roman" w:cs="Calibri"/>
                <w:b/>
                <w:bCs/>
                <w:color w:val="000000"/>
                <w:sz w:val="22"/>
                <w:lang w:val="en-GB" w:eastAsia="en-GB"/>
              </w:rPr>
              <w:t>Apr</w:t>
            </w:r>
            <w:r>
              <w:rPr>
                <w:rFonts w:eastAsia="Times New Roman" w:cs="Calibri"/>
                <w:b/>
                <w:bCs/>
                <w:color w:val="000000"/>
                <w:sz w:val="22"/>
                <w:lang w:val="en-GB" w:eastAsia="en-GB"/>
              </w:rPr>
              <w:t>.'17</w:t>
            </w:r>
            <w:r w:rsidRPr="00632986">
              <w:rPr>
                <w:rFonts w:eastAsia="Times New Roman" w:cs="Calibri"/>
                <w:b/>
                <w:bCs/>
                <w:color w:val="000000"/>
                <w:sz w:val="22"/>
                <w:lang w:val="en-GB" w:eastAsia="en-GB"/>
              </w:rPr>
              <w:t>-Sept</w:t>
            </w:r>
            <w:r>
              <w:rPr>
                <w:rFonts w:eastAsia="Times New Roman" w:cs="Calibri"/>
                <w:b/>
                <w:bCs/>
                <w:color w:val="000000"/>
                <w:sz w:val="22"/>
                <w:lang w:val="en-GB" w:eastAsia="en-GB"/>
              </w:rPr>
              <w:t>.'17</w:t>
            </w:r>
            <w:proofErr w:type="spellEnd"/>
            <w:r w:rsidRPr="00632986">
              <w:rPr>
                <w:rFonts w:eastAsia="Times New Roman" w:cs="Calibri"/>
                <w:b/>
                <w:bCs/>
                <w:color w:val="000000"/>
                <w:sz w:val="22"/>
                <w:lang w:val="en-GB" w:eastAsia="en-GB"/>
              </w:rPr>
              <w:t xml:space="preserve"> </w:t>
            </w:r>
          </w:p>
          <w:p w14:paraId="4B44E22C" w14:textId="3BA7E888"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(Actual)</w:t>
            </w:r>
          </w:p>
        </w:tc>
        <w:tc>
          <w:tcPr>
            <w:tcW w:w="898" w:type="pct"/>
            <w:tcBorders>
              <w:top w:val="nil"/>
              <w:left w:val="nil"/>
              <w:bottom w:val="single" w:sz="4" w:space="0" w:color="auto"/>
              <w:right w:val="single" w:sz="4" w:space="0" w:color="auto"/>
            </w:tcBorders>
            <w:shd w:val="clear" w:color="000000" w:fill="FABF8F"/>
            <w:noWrap/>
            <w:vAlign w:val="center"/>
            <w:hideMark/>
          </w:tcPr>
          <w:p w14:paraId="4B32CC1C" w14:textId="77777777" w:rsidR="0027074E" w:rsidRDefault="0027074E" w:rsidP="0027074E">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Oct.'</w:t>
            </w:r>
            <w:proofErr w:type="spellStart"/>
            <w:r>
              <w:rPr>
                <w:rFonts w:eastAsia="Times New Roman" w:cs="Calibri"/>
                <w:b/>
                <w:bCs/>
                <w:color w:val="000000"/>
                <w:sz w:val="22"/>
                <w:lang w:val="en-GB" w:eastAsia="en-GB"/>
              </w:rPr>
              <w:t>17-March</w:t>
            </w:r>
            <w:proofErr w:type="spellEnd"/>
            <w:r>
              <w:rPr>
                <w:rFonts w:eastAsia="Times New Roman" w:cs="Calibri"/>
                <w:b/>
                <w:bCs/>
                <w:color w:val="000000"/>
                <w:sz w:val="22"/>
                <w:lang w:val="en-GB" w:eastAsia="en-GB"/>
              </w:rPr>
              <w:t>'18</w:t>
            </w:r>
            <w:r w:rsidRPr="00632986">
              <w:rPr>
                <w:rFonts w:eastAsia="Times New Roman" w:cs="Calibri"/>
                <w:b/>
                <w:bCs/>
                <w:color w:val="000000"/>
                <w:sz w:val="22"/>
                <w:lang w:val="en-GB" w:eastAsia="en-GB"/>
              </w:rPr>
              <w:t xml:space="preserve"> </w:t>
            </w:r>
          </w:p>
          <w:p w14:paraId="2CA5835C" w14:textId="76CD20F7"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(Estimated)</w:t>
            </w:r>
          </w:p>
        </w:tc>
        <w:tc>
          <w:tcPr>
            <w:tcW w:w="660" w:type="pct"/>
            <w:tcBorders>
              <w:top w:val="nil"/>
              <w:left w:val="nil"/>
              <w:bottom w:val="single" w:sz="4" w:space="0" w:color="auto"/>
              <w:right w:val="single" w:sz="4" w:space="0" w:color="auto"/>
            </w:tcBorders>
            <w:shd w:val="clear" w:color="000000" w:fill="FABF8F"/>
            <w:noWrap/>
            <w:vAlign w:val="center"/>
            <w:hideMark/>
          </w:tcPr>
          <w:p w14:paraId="64AD1DF0" w14:textId="77777777"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Total (RE)</w:t>
            </w:r>
          </w:p>
        </w:tc>
        <w:tc>
          <w:tcPr>
            <w:tcW w:w="593" w:type="pct"/>
            <w:tcBorders>
              <w:top w:val="nil"/>
              <w:left w:val="nil"/>
              <w:bottom w:val="single" w:sz="4" w:space="0" w:color="auto"/>
              <w:right w:val="single" w:sz="4" w:space="0" w:color="auto"/>
            </w:tcBorders>
            <w:shd w:val="clear" w:color="000000" w:fill="FABF8F"/>
            <w:noWrap/>
            <w:vAlign w:val="center"/>
            <w:hideMark/>
          </w:tcPr>
          <w:p w14:paraId="60625EE5" w14:textId="77777777"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Estimate</w:t>
            </w:r>
          </w:p>
        </w:tc>
      </w:tr>
      <w:tr w:rsidR="005E277E" w:rsidRPr="00632986" w14:paraId="73BC5089" w14:textId="77777777" w:rsidTr="0027074E">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D9E4A43"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1</w:t>
            </w:r>
          </w:p>
        </w:tc>
        <w:tc>
          <w:tcPr>
            <w:tcW w:w="637" w:type="pct"/>
            <w:tcBorders>
              <w:top w:val="nil"/>
              <w:left w:val="nil"/>
              <w:bottom w:val="single" w:sz="4" w:space="0" w:color="auto"/>
              <w:right w:val="single" w:sz="4" w:space="0" w:color="auto"/>
            </w:tcBorders>
            <w:shd w:val="clear" w:color="auto" w:fill="auto"/>
            <w:vAlign w:val="center"/>
            <w:hideMark/>
          </w:tcPr>
          <w:p w14:paraId="6C93D2EA" w14:textId="77777777" w:rsidR="005E277E" w:rsidRPr="00632986" w:rsidRDefault="005E277E" w:rsidP="00F46BE1">
            <w:pPr>
              <w:spacing w:line="240" w:lineRule="auto"/>
              <w:jc w:val="left"/>
              <w:rPr>
                <w:rFonts w:eastAsia="Times New Roman" w:cs="Calibri"/>
                <w:color w:val="000000"/>
                <w:sz w:val="22"/>
                <w:lang w:val="en-GB" w:eastAsia="en-GB"/>
              </w:rPr>
            </w:pPr>
            <w:proofErr w:type="spellStart"/>
            <w:r>
              <w:rPr>
                <w:rFonts w:eastAsia="Times New Roman" w:cs="Calibri"/>
                <w:color w:val="000000"/>
                <w:sz w:val="22"/>
                <w:lang w:val="en-GB" w:eastAsia="en-GB"/>
              </w:rPr>
              <w:t>A&amp;G</w:t>
            </w:r>
            <w:proofErr w:type="spellEnd"/>
            <w:r>
              <w:rPr>
                <w:rFonts w:eastAsia="Times New Roman" w:cs="Calibri"/>
                <w:color w:val="000000"/>
                <w:sz w:val="22"/>
                <w:lang w:val="en-GB" w:eastAsia="en-GB"/>
              </w:rPr>
              <w:t xml:space="preserve"> expenses</w:t>
            </w:r>
          </w:p>
        </w:tc>
        <w:tc>
          <w:tcPr>
            <w:tcW w:w="408" w:type="pct"/>
            <w:tcBorders>
              <w:top w:val="single" w:sz="4" w:space="0" w:color="auto"/>
              <w:left w:val="nil"/>
              <w:bottom w:val="single" w:sz="4" w:space="0" w:color="auto"/>
              <w:right w:val="single" w:sz="4" w:space="0" w:color="auto"/>
            </w:tcBorders>
          </w:tcPr>
          <w:p w14:paraId="7E0F4E78" w14:textId="77777777" w:rsidR="005E277E" w:rsidRDefault="005E277E" w:rsidP="00F46BE1">
            <w:pPr>
              <w:spacing w:line="240" w:lineRule="auto"/>
              <w:jc w:val="right"/>
              <w:rPr>
                <w:rFonts w:eastAsia="Times New Roman" w:cs="Calibri"/>
                <w:color w:val="000000"/>
                <w:sz w:val="22"/>
                <w:lang w:val="en-GB" w:eastAsia="en-GB"/>
              </w:rPr>
            </w:pPr>
          </w:p>
        </w:tc>
        <w:tc>
          <w:tcPr>
            <w:tcW w:w="706" w:type="pct"/>
            <w:tcBorders>
              <w:top w:val="nil"/>
              <w:left w:val="single" w:sz="4" w:space="0" w:color="auto"/>
              <w:bottom w:val="single" w:sz="4" w:space="0" w:color="auto"/>
              <w:right w:val="single" w:sz="4" w:space="0" w:color="auto"/>
            </w:tcBorders>
            <w:shd w:val="clear" w:color="auto" w:fill="auto"/>
            <w:vAlign w:val="center"/>
            <w:hideMark/>
          </w:tcPr>
          <w:p w14:paraId="2C424E5A" w14:textId="77777777" w:rsidR="005E277E" w:rsidRPr="00632986" w:rsidRDefault="005E277E" w:rsidP="00F46BE1">
            <w:pPr>
              <w:spacing w:line="240" w:lineRule="auto"/>
              <w:jc w:val="right"/>
              <w:rPr>
                <w:rFonts w:eastAsia="Times New Roman" w:cs="Calibri"/>
                <w:color w:val="000000"/>
                <w:sz w:val="22"/>
                <w:lang w:val="en-GB" w:eastAsia="en-GB"/>
              </w:rPr>
            </w:pPr>
            <w:r>
              <w:rPr>
                <w:rFonts w:eastAsia="Times New Roman" w:cs="Calibri"/>
                <w:color w:val="000000"/>
                <w:sz w:val="22"/>
                <w:lang w:val="en-GB" w:eastAsia="en-GB"/>
              </w:rPr>
              <w:t>0.42</w:t>
            </w:r>
          </w:p>
        </w:tc>
        <w:tc>
          <w:tcPr>
            <w:tcW w:w="830" w:type="pct"/>
            <w:tcBorders>
              <w:top w:val="nil"/>
              <w:left w:val="nil"/>
              <w:bottom w:val="single" w:sz="4" w:space="0" w:color="auto"/>
              <w:right w:val="single" w:sz="4" w:space="0" w:color="auto"/>
            </w:tcBorders>
            <w:shd w:val="clear" w:color="auto" w:fill="auto"/>
            <w:vAlign w:val="center"/>
            <w:hideMark/>
          </w:tcPr>
          <w:p w14:paraId="06C496CF"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898" w:type="pct"/>
            <w:tcBorders>
              <w:top w:val="nil"/>
              <w:left w:val="nil"/>
              <w:bottom w:val="single" w:sz="4" w:space="0" w:color="auto"/>
              <w:right w:val="single" w:sz="4" w:space="0" w:color="auto"/>
            </w:tcBorders>
            <w:shd w:val="clear" w:color="auto" w:fill="auto"/>
            <w:vAlign w:val="center"/>
            <w:hideMark/>
          </w:tcPr>
          <w:p w14:paraId="3EDA3AF2" w14:textId="738A7BAE"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r w:rsidR="00FC3260">
              <w:rPr>
                <w:rFonts w:eastAsia="Times New Roman" w:cs="Calibri"/>
                <w:color w:val="000000"/>
                <w:sz w:val="22"/>
                <w:lang w:val="en-GB" w:eastAsia="en-GB"/>
              </w:rPr>
              <w:t>0.28</w:t>
            </w:r>
          </w:p>
        </w:tc>
        <w:tc>
          <w:tcPr>
            <w:tcW w:w="660" w:type="pct"/>
            <w:tcBorders>
              <w:top w:val="nil"/>
              <w:left w:val="nil"/>
              <w:bottom w:val="single" w:sz="4" w:space="0" w:color="auto"/>
              <w:right w:val="single" w:sz="4" w:space="0" w:color="auto"/>
            </w:tcBorders>
            <w:shd w:val="clear" w:color="auto" w:fill="auto"/>
            <w:vAlign w:val="center"/>
            <w:hideMark/>
          </w:tcPr>
          <w:p w14:paraId="55143526"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593" w:type="pct"/>
            <w:tcBorders>
              <w:top w:val="nil"/>
              <w:left w:val="nil"/>
              <w:bottom w:val="single" w:sz="4" w:space="0" w:color="auto"/>
              <w:right w:val="single" w:sz="4" w:space="0" w:color="auto"/>
            </w:tcBorders>
            <w:shd w:val="clear" w:color="auto" w:fill="auto"/>
            <w:vAlign w:val="center"/>
            <w:hideMark/>
          </w:tcPr>
          <w:p w14:paraId="0347C77A" w14:textId="22B7B959" w:rsidR="005E277E" w:rsidRPr="00632986" w:rsidRDefault="0092447A" w:rsidP="00F46BE1">
            <w:pPr>
              <w:spacing w:line="240" w:lineRule="auto"/>
              <w:jc w:val="center"/>
              <w:rPr>
                <w:rFonts w:eastAsia="Times New Roman" w:cs="Calibri"/>
                <w:color w:val="000000"/>
                <w:sz w:val="22"/>
                <w:lang w:val="en-GB" w:eastAsia="en-GB"/>
              </w:rPr>
            </w:pPr>
            <w:r>
              <w:rPr>
                <w:rFonts w:eastAsia="Times New Roman" w:cs="Calibri"/>
                <w:b/>
                <w:bCs/>
                <w:color w:val="000000"/>
                <w:sz w:val="22"/>
                <w:lang w:val="en-GB" w:eastAsia="en-GB"/>
              </w:rPr>
              <w:t>0.57</w:t>
            </w:r>
          </w:p>
        </w:tc>
      </w:tr>
      <w:tr w:rsidR="005E277E" w:rsidRPr="00632986" w14:paraId="5EC3029E" w14:textId="77777777" w:rsidTr="0027074E">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1A6A80F9"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2</w:t>
            </w:r>
          </w:p>
        </w:tc>
        <w:tc>
          <w:tcPr>
            <w:tcW w:w="637" w:type="pct"/>
            <w:tcBorders>
              <w:top w:val="nil"/>
              <w:left w:val="nil"/>
              <w:bottom w:val="single" w:sz="4" w:space="0" w:color="auto"/>
              <w:right w:val="single" w:sz="4" w:space="0" w:color="auto"/>
            </w:tcBorders>
            <w:shd w:val="clear" w:color="auto" w:fill="auto"/>
            <w:vAlign w:val="center"/>
            <w:hideMark/>
          </w:tcPr>
          <w:p w14:paraId="02E29BEA"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xml:space="preserve"> Indexation</w:t>
            </w:r>
          </w:p>
        </w:tc>
        <w:tc>
          <w:tcPr>
            <w:tcW w:w="408" w:type="pct"/>
            <w:tcBorders>
              <w:top w:val="single" w:sz="4" w:space="0" w:color="auto"/>
              <w:left w:val="nil"/>
              <w:bottom w:val="single" w:sz="4" w:space="0" w:color="auto"/>
              <w:right w:val="single" w:sz="4" w:space="0" w:color="auto"/>
            </w:tcBorders>
          </w:tcPr>
          <w:p w14:paraId="4A84101D" w14:textId="77777777" w:rsidR="005E277E" w:rsidRPr="00632986" w:rsidRDefault="005E277E" w:rsidP="00F46BE1">
            <w:pPr>
              <w:spacing w:line="240" w:lineRule="auto"/>
              <w:jc w:val="right"/>
              <w:rPr>
                <w:rFonts w:eastAsia="Times New Roman" w:cs="Calibri"/>
                <w:color w:val="000000"/>
                <w:sz w:val="22"/>
                <w:lang w:val="en-GB" w:eastAsia="en-GB"/>
              </w:rPr>
            </w:pPr>
          </w:p>
        </w:tc>
        <w:tc>
          <w:tcPr>
            <w:tcW w:w="706" w:type="pct"/>
            <w:tcBorders>
              <w:top w:val="nil"/>
              <w:left w:val="single" w:sz="4" w:space="0" w:color="auto"/>
              <w:bottom w:val="single" w:sz="4" w:space="0" w:color="auto"/>
              <w:right w:val="single" w:sz="4" w:space="0" w:color="auto"/>
            </w:tcBorders>
            <w:shd w:val="clear" w:color="auto" w:fill="auto"/>
            <w:vAlign w:val="center"/>
            <w:hideMark/>
          </w:tcPr>
          <w:p w14:paraId="476AF38A" w14:textId="77777777" w:rsidR="005E277E" w:rsidRPr="00632986" w:rsidRDefault="005E277E" w:rsidP="00F46BE1">
            <w:pPr>
              <w:spacing w:line="240" w:lineRule="auto"/>
              <w:jc w:val="right"/>
              <w:rPr>
                <w:rFonts w:eastAsia="Times New Roman" w:cs="Calibri"/>
                <w:color w:val="000000"/>
                <w:sz w:val="22"/>
                <w:lang w:val="en-GB" w:eastAsia="en-GB"/>
              </w:rPr>
            </w:pPr>
            <w:r w:rsidRPr="00632986">
              <w:rPr>
                <w:rFonts w:eastAsia="Times New Roman" w:cs="Calibri"/>
                <w:color w:val="000000"/>
                <w:sz w:val="22"/>
                <w:lang w:val="en-GB" w:eastAsia="en-GB"/>
              </w:rPr>
              <w:t>2.59%</w:t>
            </w:r>
          </w:p>
        </w:tc>
        <w:tc>
          <w:tcPr>
            <w:tcW w:w="830" w:type="pct"/>
            <w:tcBorders>
              <w:top w:val="nil"/>
              <w:left w:val="nil"/>
              <w:bottom w:val="single" w:sz="4" w:space="0" w:color="auto"/>
              <w:right w:val="single" w:sz="4" w:space="0" w:color="auto"/>
            </w:tcBorders>
            <w:shd w:val="clear" w:color="auto" w:fill="auto"/>
            <w:vAlign w:val="center"/>
            <w:hideMark/>
          </w:tcPr>
          <w:p w14:paraId="6D0DDF27"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898" w:type="pct"/>
            <w:tcBorders>
              <w:top w:val="nil"/>
              <w:left w:val="nil"/>
              <w:bottom w:val="single" w:sz="4" w:space="0" w:color="auto"/>
              <w:right w:val="single" w:sz="4" w:space="0" w:color="auto"/>
            </w:tcBorders>
            <w:shd w:val="clear" w:color="auto" w:fill="auto"/>
            <w:vAlign w:val="center"/>
            <w:hideMark/>
          </w:tcPr>
          <w:p w14:paraId="4836DC32"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r>
              <w:rPr>
                <w:rFonts w:eastAsia="Times New Roman" w:cs="Calibri"/>
                <w:color w:val="000000"/>
                <w:sz w:val="22"/>
                <w:lang w:val="en-GB" w:eastAsia="en-GB"/>
              </w:rPr>
              <w:t>3.99%</w:t>
            </w:r>
          </w:p>
        </w:tc>
        <w:tc>
          <w:tcPr>
            <w:tcW w:w="660" w:type="pct"/>
            <w:tcBorders>
              <w:top w:val="nil"/>
              <w:left w:val="nil"/>
              <w:bottom w:val="single" w:sz="4" w:space="0" w:color="auto"/>
              <w:right w:val="single" w:sz="4" w:space="0" w:color="auto"/>
            </w:tcBorders>
            <w:shd w:val="clear" w:color="auto" w:fill="auto"/>
            <w:vAlign w:val="center"/>
            <w:hideMark/>
          </w:tcPr>
          <w:p w14:paraId="7BAA3BE8"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593" w:type="pct"/>
            <w:tcBorders>
              <w:top w:val="nil"/>
              <w:left w:val="nil"/>
              <w:bottom w:val="single" w:sz="4" w:space="0" w:color="auto"/>
              <w:right w:val="single" w:sz="4" w:space="0" w:color="auto"/>
            </w:tcBorders>
            <w:shd w:val="clear" w:color="auto" w:fill="auto"/>
            <w:vAlign w:val="center"/>
            <w:hideMark/>
          </w:tcPr>
          <w:p w14:paraId="4CC93A00"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r>
              <w:rPr>
                <w:rFonts w:eastAsia="Times New Roman" w:cs="Calibri"/>
                <w:color w:val="000000"/>
                <w:sz w:val="22"/>
                <w:lang w:val="en-GB" w:eastAsia="en-GB"/>
              </w:rPr>
              <w:t>3.99%</w:t>
            </w:r>
          </w:p>
        </w:tc>
      </w:tr>
      <w:tr w:rsidR="005E277E" w:rsidRPr="00632986" w14:paraId="21E7B556" w14:textId="77777777" w:rsidTr="0027074E">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A484176"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3</w:t>
            </w:r>
          </w:p>
        </w:tc>
        <w:tc>
          <w:tcPr>
            <w:tcW w:w="637" w:type="pct"/>
            <w:tcBorders>
              <w:top w:val="nil"/>
              <w:left w:val="nil"/>
              <w:bottom w:val="single" w:sz="4" w:space="0" w:color="auto"/>
              <w:right w:val="single" w:sz="4" w:space="0" w:color="auto"/>
            </w:tcBorders>
            <w:shd w:val="clear" w:color="auto" w:fill="auto"/>
            <w:vAlign w:val="center"/>
            <w:hideMark/>
          </w:tcPr>
          <w:p w14:paraId="41043272"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Add: Inflationary Increase</w:t>
            </w:r>
          </w:p>
        </w:tc>
        <w:tc>
          <w:tcPr>
            <w:tcW w:w="408" w:type="pct"/>
            <w:tcBorders>
              <w:top w:val="single" w:sz="4" w:space="0" w:color="auto"/>
              <w:left w:val="nil"/>
              <w:bottom w:val="single" w:sz="4" w:space="0" w:color="auto"/>
              <w:right w:val="single" w:sz="4" w:space="0" w:color="auto"/>
            </w:tcBorders>
          </w:tcPr>
          <w:p w14:paraId="59100C84" w14:textId="77777777" w:rsidR="005E277E" w:rsidRDefault="005E277E" w:rsidP="00F46BE1">
            <w:pPr>
              <w:spacing w:line="240" w:lineRule="auto"/>
              <w:jc w:val="right"/>
              <w:rPr>
                <w:rFonts w:eastAsia="Times New Roman" w:cs="Calibri"/>
                <w:color w:val="000000"/>
                <w:sz w:val="22"/>
                <w:lang w:val="en-GB" w:eastAsia="en-GB"/>
              </w:rPr>
            </w:pPr>
          </w:p>
        </w:tc>
        <w:tc>
          <w:tcPr>
            <w:tcW w:w="706" w:type="pct"/>
            <w:tcBorders>
              <w:top w:val="nil"/>
              <w:left w:val="single" w:sz="4" w:space="0" w:color="auto"/>
              <w:bottom w:val="single" w:sz="4" w:space="0" w:color="auto"/>
              <w:right w:val="single" w:sz="4" w:space="0" w:color="auto"/>
            </w:tcBorders>
            <w:shd w:val="clear" w:color="auto" w:fill="auto"/>
            <w:vAlign w:val="center"/>
            <w:hideMark/>
          </w:tcPr>
          <w:p w14:paraId="57BCFA45" w14:textId="77777777" w:rsidR="005E277E" w:rsidRPr="00632986" w:rsidRDefault="005E277E" w:rsidP="00F46BE1">
            <w:pPr>
              <w:spacing w:line="240" w:lineRule="auto"/>
              <w:jc w:val="right"/>
              <w:rPr>
                <w:rFonts w:eastAsia="Times New Roman" w:cs="Calibri"/>
                <w:color w:val="000000"/>
                <w:sz w:val="22"/>
                <w:lang w:val="en-GB" w:eastAsia="en-GB"/>
              </w:rPr>
            </w:pPr>
            <w:r>
              <w:rPr>
                <w:rFonts w:eastAsia="Times New Roman" w:cs="Calibri"/>
                <w:color w:val="000000"/>
                <w:sz w:val="22"/>
                <w:lang w:val="en-GB" w:eastAsia="en-GB"/>
              </w:rPr>
              <w:t>0.01</w:t>
            </w:r>
          </w:p>
        </w:tc>
        <w:tc>
          <w:tcPr>
            <w:tcW w:w="830" w:type="pct"/>
            <w:tcBorders>
              <w:top w:val="nil"/>
              <w:left w:val="nil"/>
              <w:bottom w:val="single" w:sz="4" w:space="0" w:color="auto"/>
              <w:right w:val="single" w:sz="4" w:space="0" w:color="auto"/>
            </w:tcBorders>
            <w:shd w:val="clear" w:color="auto" w:fill="auto"/>
            <w:vAlign w:val="center"/>
            <w:hideMark/>
          </w:tcPr>
          <w:p w14:paraId="07DA0C80"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898" w:type="pct"/>
            <w:tcBorders>
              <w:top w:val="nil"/>
              <w:left w:val="nil"/>
              <w:bottom w:val="single" w:sz="4" w:space="0" w:color="auto"/>
              <w:right w:val="single" w:sz="4" w:space="0" w:color="auto"/>
            </w:tcBorders>
            <w:shd w:val="clear" w:color="auto" w:fill="auto"/>
            <w:vAlign w:val="center"/>
            <w:hideMark/>
          </w:tcPr>
          <w:p w14:paraId="531E3F66" w14:textId="7D4E5DF9" w:rsidR="005E277E" w:rsidRPr="0029573D" w:rsidRDefault="005E277E" w:rsidP="00F46BE1">
            <w:pPr>
              <w:spacing w:line="240" w:lineRule="auto"/>
              <w:jc w:val="center"/>
              <w:rPr>
                <w:rFonts w:eastAsia="Times New Roman" w:cs="Calibri"/>
                <w:bCs/>
                <w:color w:val="000000"/>
                <w:sz w:val="22"/>
                <w:lang w:val="en-GB" w:eastAsia="en-GB"/>
              </w:rPr>
            </w:pPr>
            <w:r w:rsidRPr="0029573D">
              <w:rPr>
                <w:rFonts w:eastAsia="Times New Roman" w:cs="Calibri"/>
                <w:bCs/>
                <w:color w:val="000000"/>
                <w:sz w:val="22"/>
                <w:lang w:val="en-GB" w:eastAsia="en-GB"/>
              </w:rPr>
              <w:t>0.0</w:t>
            </w:r>
            <w:r w:rsidR="00FC3260">
              <w:rPr>
                <w:rFonts w:eastAsia="Times New Roman" w:cs="Calibri"/>
                <w:bCs/>
                <w:color w:val="000000"/>
                <w:sz w:val="22"/>
                <w:lang w:val="en-GB" w:eastAsia="en-GB"/>
              </w:rPr>
              <w:t>1</w:t>
            </w:r>
            <w:r w:rsidRPr="0029573D">
              <w:rPr>
                <w:rFonts w:eastAsia="Times New Roman" w:cs="Calibri"/>
                <w:bCs/>
                <w:color w:val="000000"/>
                <w:sz w:val="22"/>
                <w:lang w:val="en-GB" w:eastAsia="en-GB"/>
              </w:rPr>
              <w:t> </w:t>
            </w:r>
          </w:p>
        </w:tc>
        <w:tc>
          <w:tcPr>
            <w:tcW w:w="660" w:type="pct"/>
            <w:tcBorders>
              <w:top w:val="nil"/>
              <w:left w:val="nil"/>
              <w:bottom w:val="single" w:sz="4" w:space="0" w:color="auto"/>
              <w:right w:val="single" w:sz="4" w:space="0" w:color="auto"/>
            </w:tcBorders>
            <w:shd w:val="clear" w:color="auto" w:fill="auto"/>
            <w:vAlign w:val="center"/>
            <w:hideMark/>
          </w:tcPr>
          <w:p w14:paraId="4A730F09" w14:textId="77777777" w:rsidR="005E277E" w:rsidRPr="00632986" w:rsidRDefault="005E277E" w:rsidP="00F46BE1">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 </w:t>
            </w:r>
          </w:p>
        </w:tc>
        <w:tc>
          <w:tcPr>
            <w:tcW w:w="593" w:type="pct"/>
            <w:tcBorders>
              <w:top w:val="nil"/>
              <w:left w:val="nil"/>
              <w:bottom w:val="single" w:sz="4" w:space="0" w:color="auto"/>
              <w:right w:val="single" w:sz="4" w:space="0" w:color="auto"/>
            </w:tcBorders>
            <w:shd w:val="clear" w:color="auto" w:fill="auto"/>
            <w:vAlign w:val="center"/>
            <w:hideMark/>
          </w:tcPr>
          <w:p w14:paraId="3B14A416" w14:textId="42782712"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0.</w:t>
            </w:r>
            <w:r w:rsidR="0092447A">
              <w:rPr>
                <w:rFonts w:eastAsia="Times New Roman" w:cs="Calibri"/>
                <w:color w:val="000000"/>
                <w:sz w:val="22"/>
                <w:lang w:val="en-GB" w:eastAsia="en-GB"/>
              </w:rPr>
              <w:t>02</w:t>
            </w:r>
          </w:p>
        </w:tc>
      </w:tr>
      <w:tr w:rsidR="005E277E" w:rsidRPr="00632986" w14:paraId="33FD9D28" w14:textId="77777777" w:rsidTr="0027074E">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12479CF"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4</w:t>
            </w:r>
          </w:p>
        </w:tc>
        <w:tc>
          <w:tcPr>
            <w:tcW w:w="637" w:type="pct"/>
            <w:tcBorders>
              <w:top w:val="nil"/>
              <w:left w:val="nil"/>
              <w:bottom w:val="single" w:sz="4" w:space="0" w:color="auto"/>
              <w:right w:val="single" w:sz="4" w:space="0" w:color="auto"/>
            </w:tcBorders>
            <w:shd w:val="clear" w:color="auto" w:fill="auto"/>
            <w:vAlign w:val="center"/>
            <w:hideMark/>
          </w:tcPr>
          <w:p w14:paraId="7F61E4AB" w14:textId="77777777" w:rsidR="005E277E" w:rsidRPr="000E6284" w:rsidRDefault="005E277E" w:rsidP="00F46BE1">
            <w:pPr>
              <w:spacing w:line="240" w:lineRule="auto"/>
              <w:jc w:val="left"/>
              <w:rPr>
                <w:rFonts w:eastAsia="Times New Roman" w:cs="Calibri"/>
                <w:b/>
                <w:bCs/>
                <w:color w:val="000000"/>
                <w:sz w:val="22"/>
                <w:lang w:val="en-GB" w:eastAsia="en-GB"/>
              </w:rPr>
            </w:pPr>
            <w:r w:rsidRPr="000E6284">
              <w:rPr>
                <w:rFonts w:eastAsia="Times New Roman" w:cs="Calibri"/>
                <w:b/>
                <w:bCs/>
                <w:color w:val="000000"/>
                <w:sz w:val="22"/>
                <w:lang w:val="en-GB" w:eastAsia="en-GB"/>
              </w:rPr>
              <w:t xml:space="preserve">Total </w:t>
            </w:r>
            <w:proofErr w:type="spellStart"/>
            <w:r w:rsidRPr="000E6284">
              <w:rPr>
                <w:rFonts w:eastAsia="Times New Roman" w:cs="Calibri"/>
                <w:b/>
                <w:color w:val="000000"/>
                <w:sz w:val="22"/>
                <w:lang w:val="en-GB" w:eastAsia="en-GB"/>
              </w:rPr>
              <w:t>A&amp;G</w:t>
            </w:r>
            <w:proofErr w:type="spellEnd"/>
            <w:r w:rsidRPr="000E6284">
              <w:rPr>
                <w:rFonts w:eastAsia="Times New Roman" w:cs="Calibri"/>
                <w:b/>
                <w:color w:val="000000"/>
                <w:sz w:val="22"/>
                <w:lang w:val="en-GB" w:eastAsia="en-GB"/>
              </w:rPr>
              <w:t xml:space="preserve"> expenses</w:t>
            </w:r>
          </w:p>
        </w:tc>
        <w:tc>
          <w:tcPr>
            <w:tcW w:w="408" w:type="pct"/>
            <w:tcBorders>
              <w:top w:val="single" w:sz="4" w:space="0" w:color="auto"/>
              <w:left w:val="nil"/>
              <w:bottom w:val="single" w:sz="4" w:space="0" w:color="auto"/>
              <w:right w:val="single" w:sz="4" w:space="0" w:color="auto"/>
            </w:tcBorders>
            <w:vAlign w:val="center"/>
          </w:tcPr>
          <w:p w14:paraId="698E7898" w14:textId="77777777" w:rsidR="005E277E" w:rsidRDefault="005E277E" w:rsidP="005E277E">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0.51</w:t>
            </w:r>
          </w:p>
        </w:tc>
        <w:tc>
          <w:tcPr>
            <w:tcW w:w="706" w:type="pct"/>
            <w:tcBorders>
              <w:top w:val="nil"/>
              <w:left w:val="single" w:sz="4" w:space="0" w:color="auto"/>
              <w:bottom w:val="single" w:sz="4" w:space="0" w:color="auto"/>
              <w:right w:val="single" w:sz="4" w:space="0" w:color="auto"/>
            </w:tcBorders>
            <w:shd w:val="clear" w:color="auto" w:fill="auto"/>
            <w:vAlign w:val="center"/>
            <w:hideMark/>
          </w:tcPr>
          <w:p w14:paraId="19B53E75" w14:textId="77777777" w:rsidR="005E277E" w:rsidRPr="00632986" w:rsidRDefault="005E277E" w:rsidP="00F46BE1">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0.43</w:t>
            </w:r>
          </w:p>
        </w:tc>
        <w:tc>
          <w:tcPr>
            <w:tcW w:w="830" w:type="pct"/>
            <w:tcBorders>
              <w:top w:val="nil"/>
              <w:left w:val="nil"/>
              <w:bottom w:val="single" w:sz="4" w:space="0" w:color="auto"/>
              <w:right w:val="single" w:sz="4" w:space="0" w:color="auto"/>
            </w:tcBorders>
            <w:shd w:val="clear" w:color="auto" w:fill="auto"/>
            <w:vAlign w:val="center"/>
            <w:hideMark/>
          </w:tcPr>
          <w:p w14:paraId="5929BCCF" w14:textId="3E6B41BC" w:rsidR="005E277E" w:rsidRPr="00632986" w:rsidRDefault="0092447A" w:rsidP="00F46BE1">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0.28</w:t>
            </w:r>
          </w:p>
        </w:tc>
        <w:tc>
          <w:tcPr>
            <w:tcW w:w="898" w:type="pct"/>
            <w:tcBorders>
              <w:top w:val="nil"/>
              <w:left w:val="nil"/>
              <w:bottom w:val="single" w:sz="4" w:space="0" w:color="auto"/>
              <w:right w:val="single" w:sz="4" w:space="0" w:color="auto"/>
            </w:tcBorders>
            <w:shd w:val="clear" w:color="auto" w:fill="auto"/>
            <w:vAlign w:val="center"/>
            <w:hideMark/>
          </w:tcPr>
          <w:p w14:paraId="313D34C8" w14:textId="33C5ABFA" w:rsidR="005E277E" w:rsidRPr="00632986" w:rsidRDefault="0092447A" w:rsidP="00F46BE1">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0.29</w:t>
            </w:r>
          </w:p>
        </w:tc>
        <w:tc>
          <w:tcPr>
            <w:tcW w:w="660" w:type="pct"/>
            <w:tcBorders>
              <w:top w:val="nil"/>
              <w:left w:val="nil"/>
              <w:bottom w:val="single" w:sz="4" w:space="0" w:color="auto"/>
              <w:right w:val="single" w:sz="4" w:space="0" w:color="auto"/>
            </w:tcBorders>
            <w:shd w:val="clear" w:color="auto" w:fill="auto"/>
            <w:vAlign w:val="center"/>
            <w:hideMark/>
          </w:tcPr>
          <w:p w14:paraId="141E9F7F" w14:textId="41637820" w:rsidR="005E277E" w:rsidRPr="00632986" w:rsidRDefault="0092447A" w:rsidP="00F46BE1">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0.57</w:t>
            </w:r>
          </w:p>
        </w:tc>
        <w:tc>
          <w:tcPr>
            <w:tcW w:w="593" w:type="pct"/>
            <w:tcBorders>
              <w:top w:val="nil"/>
              <w:left w:val="nil"/>
              <w:bottom w:val="single" w:sz="4" w:space="0" w:color="auto"/>
              <w:right w:val="single" w:sz="4" w:space="0" w:color="auto"/>
            </w:tcBorders>
            <w:shd w:val="clear" w:color="auto" w:fill="auto"/>
            <w:vAlign w:val="center"/>
            <w:hideMark/>
          </w:tcPr>
          <w:p w14:paraId="75D97F82" w14:textId="20044974" w:rsidR="005E277E" w:rsidRPr="000E6284" w:rsidRDefault="0092447A" w:rsidP="00F46BE1">
            <w:pPr>
              <w:spacing w:line="240" w:lineRule="auto"/>
              <w:jc w:val="center"/>
              <w:rPr>
                <w:rFonts w:eastAsia="Times New Roman" w:cs="Calibri"/>
                <w:b/>
                <w:color w:val="000000"/>
                <w:sz w:val="22"/>
                <w:lang w:val="en-GB" w:eastAsia="en-GB"/>
              </w:rPr>
            </w:pPr>
            <w:r>
              <w:rPr>
                <w:rFonts w:eastAsia="Times New Roman" w:cs="Calibri"/>
                <w:b/>
                <w:color w:val="000000"/>
                <w:sz w:val="22"/>
                <w:lang w:val="en-GB" w:eastAsia="en-GB"/>
              </w:rPr>
              <w:t>0.59</w:t>
            </w:r>
          </w:p>
        </w:tc>
      </w:tr>
    </w:tbl>
    <w:p w14:paraId="2382D5FC" w14:textId="77777777" w:rsidR="001318EC" w:rsidRDefault="001318EC" w:rsidP="0002209C"/>
    <w:p w14:paraId="6557FCF2" w14:textId="77777777" w:rsidR="006C0256" w:rsidRDefault="006C0256" w:rsidP="0002209C"/>
    <w:p w14:paraId="7B8FCA1E" w14:textId="77777777" w:rsidR="006C0256" w:rsidRDefault="006C0256" w:rsidP="0002209C"/>
    <w:p w14:paraId="6D57DED7" w14:textId="77777777" w:rsidR="00BD0FE4" w:rsidRDefault="00BD0FE4" w:rsidP="00BD0FE4">
      <w:pPr>
        <w:pStyle w:val="Heading3"/>
      </w:pPr>
      <w:bookmarkStart w:id="22" w:name="_Toc498423461"/>
      <w:r>
        <w:lastRenderedPageBreak/>
        <w:t>Repairs &amp; Maintenance Expenses</w:t>
      </w:r>
      <w:bookmarkEnd w:id="22"/>
    </w:p>
    <w:p w14:paraId="5F0CC415" w14:textId="3A7D9032" w:rsidR="00BD0FE4" w:rsidRDefault="004762D8" w:rsidP="00BD0FE4">
      <w:r>
        <w:t xml:space="preserve">From April 2017 to September 2017, there is no booking under R&amp;M expenses but </w:t>
      </w:r>
      <w:r w:rsidR="0045511F">
        <w:t xml:space="preserve">booking in accounts </w:t>
      </w:r>
      <w:r>
        <w:t xml:space="preserve">will be done in next 6 months. Therefore, for FY 2017-18 same </w:t>
      </w:r>
      <w:r w:rsidR="008B44AF">
        <w:t>R&amp;M expenses</w:t>
      </w:r>
      <w:r>
        <w:t xml:space="preserve"> as approved in the Tariff Order dated 9 March, 2017 has been considered.  </w:t>
      </w:r>
    </w:p>
    <w:p w14:paraId="07CB3BB7" w14:textId="77777777" w:rsidR="0045511F" w:rsidRDefault="0045511F" w:rsidP="00BD0FE4"/>
    <w:p w14:paraId="1ABE860B" w14:textId="77777777" w:rsidR="005C2772" w:rsidRDefault="005C2772" w:rsidP="00BD0FE4">
      <w:r>
        <w:t xml:space="preserve">In line with the philosophy followed for projecting employee and </w:t>
      </w:r>
      <w:proofErr w:type="spellStart"/>
      <w:r>
        <w:t>A&amp;G</w:t>
      </w:r>
      <w:proofErr w:type="spellEnd"/>
      <w:r>
        <w:t xml:space="preserve"> expenses, R&amp;M expenses for FY 2018-19 has been projected after considering an </w:t>
      </w:r>
      <w:r w:rsidRPr="00403F63">
        <w:t xml:space="preserve">increase of </w:t>
      </w:r>
      <w:r>
        <w:t xml:space="preserve">3.99%(based on CPI and </w:t>
      </w:r>
      <w:proofErr w:type="spellStart"/>
      <w:r>
        <w:t>WPI</w:t>
      </w:r>
      <w:proofErr w:type="spellEnd"/>
      <w:r>
        <w:t xml:space="preserve"> Index)</w:t>
      </w:r>
      <w:r w:rsidRPr="00403F63">
        <w:t xml:space="preserve"> per annum over </w:t>
      </w:r>
      <w:r>
        <w:t>expenses for FY 2017-18</w:t>
      </w:r>
      <w:r w:rsidRPr="00403F63">
        <w:t>.</w:t>
      </w:r>
    </w:p>
    <w:p w14:paraId="1A290E11" w14:textId="77777777" w:rsidR="001318EC" w:rsidRDefault="001318EC" w:rsidP="0002209C"/>
    <w:p w14:paraId="44B00B49" w14:textId="5F82BB35" w:rsidR="00CA22CF" w:rsidRDefault="00CA22CF" w:rsidP="00CA22CF">
      <w:pPr>
        <w:pStyle w:val="Caption"/>
        <w:spacing w:after="240"/>
      </w:pPr>
      <w:bookmarkStart w:id="23" w:name="_Toc498423475"/>
      <w:r w:rsidRPr="00C66B01">
        <w:t xml:space="preserve">Table </w:t>
      </w:r>
      <w:fldSimple w:instr=" STYLEREF 1 \s ">
        <w:r w:rsidR="0045624D">
          <w:rPr>
            <w:noProof/>
          </w:rPr>
          <w:t>2</w:t>
        </w:r>
      </w:fldSimple>
      <w:r>
        <w:noBreakHyphen/>
      </w:r>
      <w:fldSimple w:instr=" SEQ Table \* ARABIC \s 1 ">
        <w:r w:rsidR="0045624D">
          <w:rPr>
            <w:noProof/>
          </w:rPr>
          <w:t>6</w:t>
        </w:r>
      </w:fldSimple>
      <w:r>
        <w:t>:</w:t>
      </w:r>
      <w:r w:rsidRPr="00C66B01">
        <w:t xml:space="preserve"> </w:t>
      </w:r>
      <w:r>
        <w:t>Pr</w:t>
      </w:r>
      <w:r w:rsidR="0063702F">
        <w:t xml:space="preserve">ojected R&amp;M Expenses for </w:t>
      </w:r>
      <w:r w:rsidR="00067831">
        <w:t xml:space="preserve">FY 2017-18 and </w:t>
      </w:r>
      <w:r w:rsidR="0063702F">
        <w:t>FY 2018-19</w:t>
      </w:r>
      <w:r w:rsidR="00A50BE2">
        <w:t xml:space="preserve"> </w:t>
      </w:r>
      <w:r>
        <w:t xml:space="preserve">(Rs. </w:t>
      </w:r>
      <w:proofErr w:type="spellStart"/>
      <w:r>
        <w:t>Crore</w:t>
      </w:r>
      <w:proofErr w:type="spellEnd"/>
      <w:r>
        <w:t>)</w:t>
      </w:r>
      <w:bookmarkEnd w:id="23"/>
    </w:p>
    <w:tbl>
      <w:tblPr>
        <w:tblW w:w="5814" w:type="pct"/>
        <w:tblInd w:w="-856" w:type="dxa"/>
        <w:tblLayout w:type="fixed"/>
        <w:tblLook w:val="04A0" w:firstRow="1" w:lastRow="0" w:firstColumn="1" w:lastColumn="0" w:noHBand="0" w:noVBand="1"/>
      </w:tblPr>
      <w:tblGrid>
        <w:gridCol w:w="576"/>
        <w:gridCol w:w="1369"/>
        <w:gridCol w:w="875"/>
        <w:gridCol w:w="1687"/>
        <w:gridCol w:w="1842"/>
        <w:gridCol w:w="1844"/>
        <w:gridCol w:w="1279"/>
        <w:gridCol w:w="1275"/>
      </w:tblGrid>
      <w:tr w:rsidR="005E277E" w:rsidRPr="00632986" w14:paraId="60640720" w14:textId="77777777" w:rsidTr="00950B73">
        <w:trPr>
          <w:trHeight w:val="330"/>
          <w:tblHeader/>
        </w:trPr>
        <w:tc>
          <w:tcPr>
            <w:tcW w:w="268" w:type="pct"/>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14:paraId="30ADB62E" w14:textId="77777777" w:rsidR="005E277E" w:rsidRPr="00632986" w:rsidRDefault="005E277E" w:rsidP="005E277E">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Sr. No.</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14:paraId="1332C134" w14:textId="77777777" w:rsidR="005E277E" w:rsidRPr="00632986" w:rsidRDefault="005E277E" w:rsidP="005E277E">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Particulars</w:t>
            </w:r>
          </w:p>
        </w:tc>
        <w:tc>
          <w:tcPr>
            <w:tcW w:w="407" w:type="pct"/>
            <w:tcBorders>
              <w:top w:val="single" w:sz="4" w:space="0" w:color="auto"/>
              <w:left w:val="nil"/>
              <w:bottom w:val="single" w:sz="4" w:space="0" w:color="auto"/>
              <w:right w:val="single" w:sz="4" w:space="0" w:color="auto"/>
            </w:tcBorders>
            <w:shd w:val="clear" w:color="000000" w:fill="FABF8F"/>
          </w:tcPr>
          <w:p w14:paraId="1D2AAE1A" w14:textId="77777777" w:rsidR="005E277E" w:rsidRPr="00632986" w:rsidRDefault="005E277E" w:rsidP="005E277E">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FY 2016-17</w:t>
            </w:r>
          </w:p>
        </w:tc>
        <w:tc>
          <w:tcPr>
            <w:tcW w:w="3095" w:type="pct"/>
            <w:gridSpan w:val="4"/>
            <w:tcBorders>
              <w:top w:val="single" w:sz="4" w:space="0" w:color="auto"/>
              <w:left w:val="single" w:sz="4" w:space="0" w:color="auto"/>
              <w:bottom w:val="single" w:sz="4" w:space="0" w:color="auto"/>
              <w:right w:val="single" w:sz="4" w:space="0" w:color="000000"/>
            </w:tcBorders>
            <w:shd w:val="clear" w:color="000000" w:fill="FABF8F"/>
            <w:noWrap/>
            <w:vAlign w:val="bottom"/>
            <w:hideMark/>
          </w:tcPr>
          <w:p w14:paraId="0965D67E" w14:textId="77777777" w:rsidR="005E277E" w:rsidRPr="00632986" w:rsidRDefault="005E277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FY 2017-18</w:t>
            </w:r>
            <w:r>
              <w:rPr>
                <w:rFonts w:eastAsia="Times New Roman" w:cs="Calibri"/>
                <w:b/>
                <w:bCs/>
                <w:color w:val="000000"/>
                <w:sz w:val="22"/>
                <w:lang w:val="en-GB" w:eastAsia="en-GB"/>
              </w:rPr>
              <w:t xml:space="preserve"> revised</w:t>
            </w:r>
          </w:p>
        </w:tc>
        <w:tc>
          <w:tcPr>
            <w:tcW w:w="593" w:type="pct"/>
            <w:tcBorders>
              <w:top w:val="single" w:sz="4" w:space="0" w:color="auto"/>
              <w:left w:val="nil"/>
              <w:bottom w:val="single" w:sz="4" w:space="0" w:color="auto"/>
              <w:right w:val="single" w:sz="4" w:space="0" w:color="auto"/>
            </w:tcBorders>
            <w:shd w:val="clear" w:color="000000" w:fill="FABF8F"/>
            <w:noWrap/>
            <w:vAlign w:val="bottom"/>
            <w:hideMark/>
          </w:tcPr>
          <w:p w14:paraId="22E25859" w14:textId="77777777" w:rsidR="005E277E" w:rsidRPr="00632986" w:rsidRDefault="005E277E" w:rsidP="005E277E">
            <w:pPr>
              <w:spacing w:line="240" w:lineRule="auto"/>
              <w:jc w:val="left"/>
              <w:rPr>
                <w:rFonts w:eastAsia="Times New Roman" w:cs="Calibri"/>
                <w:b/>
                <w:bCs/>
                <w:color w:val="000000"/>
                <w:sz w:val="22"/>
                <w:lang w:val="en-GB" w:eastAsia="en-GB"/>
              </w:rPr>
            </w:pPr>
            <w:r w:rsidRPr="00632986">
              <w:rPr>
                <w:rFonts w:eastAsia="Times New Roman" w:cs="Calibri"/>
                <w:b/>
                <w:bCs/>
                <w:color w:val="000000"/>
                <w:sz w:val="22"/>
                <w:lang w:val="en-GB" w:eastAsia="en-GB"/>
              </w:rPr>
              <w:t>FY 2018-19</w:t>
            </w:r>
          </w:p>
        </w:tc>
      </w:tr>
      <w:tr w:rsidR="0027074E" w:rsidRPr="00632986" w14:paraId="28AED372" w14:textId="77777777" w:rsidTr="00950B73">
        <w:trPr>
          <w:trHeight w:val="1215"/>
          <w:tblHead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78724AB0" w14:textId="77777777" w:rsidR="0027074E" w:rsidRPr="00632986" w:rsidRDefault="0027074E" w:rsidP="005E277E">
            <w:pPr>
              <w:spacing w:line="240" w:lineRule="auto"/>
              <w:jc w:val="left"/>
              <w:rPr>
                <w:rFonts w:eastAsia="Times New Roman" w:cs="Calibri"/>
                <w:b/>
                <w:bCs/>
                <w:color w:val="000000"/>
                <w:sz w:val="22"/>
                <w:lang w:val="en-GB" w:eastAsia="en-GB"/>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3A829A3" w14:textId="77777777" w:rsidR="0027074E" w:rsidRPr="00632986" w:rsidRDefault="0027074E" w:rsidP="005E277E">
            <w:pPr>
              <w:spacing w:line="240" w:lineRule="auto"/>
              <w:jc w:val="left"/>
              <w:rPr>
                <w:rFonts w:eastAsia="Times New Roman" w:cs="Calibri"/>
                <w:b/>
                <w:bCs/>
                <w:color w:val="000000"/>
                <w:sz w:val="22"/>
                <w:lang w:val="en-GB" w:eastAsia="en-GB"/>
              </w:rPr>
            </w:pPr>
          </w:p>
        </w:tc>
        <w:tc>
          <w:tcPr>
            <w:tcW w:w="407" w:type="pct"/>
            <w:tcBorders>
              <w:top w:val="single" w:sz="4" w:space="0" w:color="auto"/>
              <w:left w:val="nil"/>
              <w:bottom w:val="single" w:sz="4" w:space="0" w:color="auto"/>
              <w:right w:val="single" w:sz="4" w:space="0" w:color="auto"/>
            </w:tcBorders>
            <w:shd w:val="clear" w:color="000000" w:fill="FABF8F"/>
            <w:vAlign w:val="center"/>
          </w:tcPr>
          <w:p w14:paraId="75523B09" w14:textId="77777777" w:rsidR="0027074E" w:rsidRPr="00632986" w:rsidRDefault="0027074E" w:rsidP="00950B73">
            <w:pPr>
              <w:spacing w:line="240" w:lineRule="auto"/>
              <w:ind w:left="-96"/>
              <w:jc w:val="center"/>
              <w:rPr>
                <w:rFonts w:eastAsia="Times New Roman" w:cs="Calibri"/>
                <w:b/>
                <w:bCs/>
                <w:color w:val="000000"/>
                <w:sz w:val="22"/>
                <w:lang w:val="en-GB" w:eastAsia="en-GB"/>
              </w:rPr>
            </w:pPr>
            <w:r>
              <w:rPr>
                <w:rFonts w:eastAsia="Times New Roman" w:cs="Calibri"/>
                <w:b/>
                <w:bCs/>
                <w:color w:val="000000"/>
                <w:sz w:val="22"/>
                <w:lang w:val="en-GB" w:eastAsia="en-GB"/>
              </w:rPr>
              <w:t>Actual</w:t>
            </w:r>
          </w:p>
        </w:tc>
        <w:tc>
          <w:tcPr>
            <w:tcW w:w="785" w:type="pct"/>
            <w:tcBorders>
              <w:top w:val="nil"/>
              <w:left w:val="single" w:sz="4" w:space="0" w:color="auto"/>
              <w:bottom w:val="single" w:sz="4" w:space="0" w:color="auto"/>
              <w:right w:val="single" w:sz="4" w:space="0" w:color="auto"/>
            </w:tcBorders>
            <w:shd w:val="clear" w:color="000000" w:fill="FABF8F"/>
            <w:vAlign w:val="bottom"/>
            <w:hideMark/>
          </w:tcPr>
          <w:p w14:paraId="6EAFCCE4" w14:textId="77777777"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Approved in Tariff Order dated 9 March, 2017</w:t>
            </w:r>
          </w:p>
        </w:tc>
        <w:tc>
          <w:tcPr>
            <w:tcW w:w="857" w:type="pct"/>
            <w:tcBorders>
              <w:top w:val="nil"/>
              <w:left w:val="nil"/>
              <w:bottom w:val="single" w:sz="4" w:space="0" w:color="auto"/>
              <w:right w:val="single" w:sz="4" w:space="0" w:color="auto"/>
            </w:tcBorders>
            <w:shd w:val="clear" w:color="000000" w:fill="FABF8F"/>
            <w:noWrap/>
            <w:vAlign w:val="center"/>
            <w:hideMark/>
          </w:tcPr>
          <w:p w14:paraId="1373A2CF" w14:textId="77777777" w:rsidR="0027074E" w:rsidRDefault="0027074E" w:rsidP="0027074E">
            <w:pPr>
              <w:spacing w:line="240" w:lineRule="auto"/>
              <w:jc w:val="center"/>
              <w:rPr>
                <w:rFonts w:eastAsia="Times New Roman" w:cs="Calibri"/>
                <w:b/>
                <w:bCs/>
                <w:color w:val="000000"/>
                <w:sz w:val="22"/>
                <w:lang w:val="en-GB" w:eastAsia="en-GB"/>
              </w:rPr>
            </w:pPr>
            <w:proofErr w:type="spellStart"/>
            <w:r w:rsidRPr="00632986">
              <w:rPr>
                <w:rFonts w:eastAsia="Times New Roman" w:cs="Calibri"/>
                <w:b/>
                <w:bCs/>
                <w:color w:val="000000"/>
                <w:sz w:val="22"/>
                <w:lang w:val="en-GB" w:eastAsia="en-GB"/>
              </w:rPr>
              <w:t>Apr</w:t>
            </w:r>
            <w:r>
              <w:rPr>
                <w:rFonts w:eastAsia="Times New Roman" w:cs="Calibri"/>
                <w:b/>
                <w:bCs/>
                <w:color w:val="000000"/>
                <w:sz w:val="22"/>
                <w:lang w:val="en-GB" w:eastAsia="en-GB"/>
              </w:rPr>
              <w:t>.'17</w:t>
            </w:r>
            <w:r w:rsidRPr="00632986">
              <w:rPr>
                <w:rFonts w:eastAsia="Times New Roman" w:cs="Calibri"/>
                <w:b/>
                <w:bCs/>
                <w:color w:val="000000"/>
                <w:sz w:val="22"/>
                <w:lang w:val="en-GB" w:eastAsia="en-GB"/>
              </w:rPr>
              <w:t>-Sept</w:t>
            </w:r>
            <w:r>
              <w:rPr>
                <w:rFonts w:eastAsia="Times New Roman" w:cs="Calibri"/>
                <w:b/>
                <w:bCs/>
                <w:color w:val="000000"/>
                <w:sz w:val="22"/>
                <w:lang w:val="en-GB" w:eastAsia="en-GB"/>
              </w:rPr>
              <w:t>.'17</w:t>
            </w:r>
            <w:proofErr w:type="spellEnd"/>
            <w:r w:rsidRPr="00632986">
              <w:rPr>
                <w:rFonts w:eastAsia="Times New Roman" w:cs="Calibri"/>
                <w:b/>
                <w:bCs/>
                <w:color w:val="000000"/>
                <w:sz w:val="22"/>
                <w:lang w:val="en-GB" w:eastAsia="en-GB"/>
              </w:rPr>
              <w:t xml:space="preserve"> </w:t>
            </w:r>
          </w:p>
          <w:p w14:paraId="69543425" w14:textId="5639ABDA"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(Actual)</w:t>
            </w:r>
          </w:p>
        </w:tc>
        <w:tc>
          <w:tcPr>
            <w:tcW w:w="858" w:type="pct"/>
            <w:tcBorders>
              <w:top w:val="nil"/>
              <w:left w:val="nil"/>
              <w:bottom w:val="single" w:sz="4" w:space="0" w:color="auto"/>
              <w:right w:val="single" w:sz="4" w:space="0" w:color="auto"/>
            </w:tcBorders>
            <w:shd w:val="clear" w:color="000000" w:fill="FABF8F"/>
            <w:noWrap/>
            <w:vAlign w:val="center"/>
            <w:hideMark/>
          </w:tcPr>
          <w:p w14:paraId="16D06AF9" w14:textId="77777777" w:rsidR="0027074E" w:rsidRDefault="0027074E" w:rsidP="0027074E">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Oct.'</w:t>
            </w:r>
            <w:proofErr w:type="spellStart"/>
            <w:r>
              <w:rPr>
                <w:rFonts w:eastAsia="Times New Roman" w:cs="Calibri"/>
                <w:b/>
                <w:bCs/>
                <w:color w:val="000000"/>
                <w:sz w:val="22"/>
                <w:lang w:val="en-GB" w:eastAsia="en-GB"/>
              </w:rPr>
              <w:t>17-March</w:t>
            </w:r>
            <w:proofErr w:type="spellEnd"/>
            <w:r>
              <w:rPr>
                <w:rFonts w:eastAsia="Times New Roman" w:cs="Calibri"/>
                <w:b/>
                <w:bCs/>
                <w:color w:val="000000"/>
                <w:sz w:val="22"/>
                <w:lang w:val="en-GB" w:eastAsia="en-GB"/>
              </w:rPr>
              <w:t>'18</w:t>
            </w:r>
            <w:r w:rsidRPr="00632986">
              <w:rPr>
                <w:rFonts w:eastAsia="Times New Roman" w:cs="Calibri"/>
                <w:b/>
                <w:bCs/>
                <w:color w:val="000000"/>
                <w:sz w:val="22"/>
                <w:lang w:val="en-GB" w:eastAsia="en-GB"/>
              </w:rPr>
              <w:t xml:space="preserve"> </w:t>
            </w:r>
          </w:p>
          <w:p w14:paraId="5E61703E" w14:textId="54A4852F" w:rsidR="0027074E" w:rsidRPr="00632986" w:rsidRDefault="0027074E" w:rsidP="0027074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(Estimated)</w:t>
            </w:r>
          </w:p>
        </w:tc>
        <w:tc>
          <w:tcPr>
            <w:tcW w:w="594" w:type="pct"/>
            <w:tcBorders>
              <w:top w:val="nil"/>
              <w:left w:val="nil"/>
              <w:bottom w:val="single" w:sz="4" w:space="0" w:color="auto"/>
              <w:right w:val="single" w:sz="4" w:space="0" w:color="auto"/>
            </w:tcBorders>
            <w:shd w:val="clear" w:color="000000" w:fill="FABF8F"/>
            <w:noWrap/>
            <w:vAlign w:val="center"/>
            <w:hideMark/>
          </w:tcPr>
          <w:p w14:paraId="5B1BDD94" w14:textId="77777777"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Total (RE)</w:t>
            </w:r>
          </w:p>
        </w:tc>
        <w:tc>
          <w:tcPr>
            <w:tcW w:w="593" w:type="pct"/>
            <w:tcBorders>
              <w:top w:val="nil"/>
              <w:left w:val="nil"/>
              <w:bottom w:val="single" w:sz="4" w:space="0" w:color="auto"/>
              <w:right w:val="single" w:sz="4" w:space="0" w:color="auto"/>
            </w:tcBorders>
            <w:shd w:val="clear" w:color="000000" w:fill="FABF8F"/>
            <w:noWrap/>
            <w:vAlign w:val="center"/>
            <w:hideMark/>
          </w:tcPr>
          <w:p w14:paraId="5710558D" w14:textId="77777777" w:rsidR="0027074E" w:rsidRPr="00632986" w:rsidRDefault="0027074E" w:rsidP="005E277E">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Estimate</w:t>
            </w:r>
          </w:p>
        </w:tc>
      </w:tr>
      <w:tr w:rsidR="005E277E" w:rsidRPr="00632986" w14:paraId="531C84CF" w14:textId="77777777" w:rsidTr="00950B73">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5F2925B"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1</w:t>
            </w:r>
          </w:p>
        </w:tc>
        <w:tc>
          <w:tcPr>
            <w:tcW w:w="637" w:type="pct"/>
            <w:tcBorders>
              <w:top w:val="nil"/>
              <w:left w:val="nil"/>
              <w:bottom w:val="single" w:sz="4" w:space="0" w:color="auto"/>
              <w:right w:val="single" w:sz="4" w:space="0" w:color="auto"/>
            </w:tcBorders>
            <w:shd w:val="clear" w:color="auto" w:fill="auto"/>
            <w:vAlign w:val="center"/>
            <w:hideMark/>
          </w:tcPr>
          <w:p w14:paraId="55E59402" w14:textId="77777777" w:rsidR="005E277E" w:rsidRPr="00632986" w:rsidRDefault="005E277E" w:rsidP="00F46BE1">
            <w:pPr>
              <w:spacing w:line="240" w:lineRule="auto"/>
              <w:jc w:val="left"/>
              <w:rPr>
                <w:rFonts w:eastAsia="Times New Roman" w:cs="Calibri"/>
                <w:color w:val="000000"/>
                <w:sz w:val="22"/>
                <w:lang w:val="en-GB" w:eastAsia="en-GB"/>
              </w:rPr>
            </w:pPr>
            <w:r>
              <w:rPr>
                <w:rFonts w:eastAsia="Times New Roman" w:cs="Calibri"/>
                <w:color w:val="000000"/>
                <w:sz w:val="22"/>
                <w:lang w:val="en-GB" w:eastAsia="en-GB"/>
              </w:rPr>
              <w:t>R&amp;M expenses</w:t>
            </w:r>
          </w:p>
        </w:tc>
        <w:tc>
          <w:tcPr>
            <w:tcW w:w="407" w:type="pct"/>
            <w:tcBorders>
              <w:top w:val="single" w:sz="4" w:space="0" w:color="auto"/>
              <w:left w:val="nil"/>
              <w:bottom w:val="single" w:sz="4" w:space="0" w:color="auto"/>
              <w:right w:val="single" w:sz="4" w:space="0" w:color="auto"/>
            </w:tcBorders>
          </w:tcPr>
          <w:p w14:paraId="636C0098" w14:textId="77777777" w:rsidR="005E277E" w:rsidRDefault="005E277E" w:rsidP="00F46BE1">
            <w:pPr>
              <w:spacing w:line="240" w:lineRule="auto"/>
              <w:jc w:val="right"/>
              <w:rPr>
                <w:rFonts w:eastAsia="Times New Roman" w:cs="Calibri"/>
                <w:color w:val="000000"/>
                <w:sz w:val="22"/>
                <w:lang w:val="en-GB" w:eastAsia="en-GB"/>
              </w:rPr>
            </w:pPr>
          </w:p>
        </w:tc>
        <w:tc>
          <w:tcPr>
            <w:tcW w:w="785" w:type="pct"/>
            <w:tcBorders>
              <w:top w:val="nil"/>
              <w:left w:val="single" w:sz="4" w:space="0" w:color="auto"/>
              <w:bottom w:val="single" w:sz="4" w:space="0" w:color="auto"/>
              <w:right w:val="single" w:sz="4" w:space="0" w:color="auto"/>
            </w:tcBorders>
            <w:shd w:val="clear" w:color="auto" w:fill="auto"/>
            <w:vAlign w:val="center"/>
            <w:hideMark/>
          </w:tcPr>
          <w:p w14:paraId="415FA853" w14:textId="77777777" w:rsidR="005E277E" w:rsidRPr="00632986" w:rsidRDefault="005E277E" w:rsidP="00F46BE1">
            <w:pPr>
              <w:spacing w:line="240" w:lineRule="auto"/>
              <w:jc w:val="right"/>
              <w:rPr>
                <w:rFonts w:eastAsia="Times New Roman" w:cs="Calibri"/>
                <w:color w:val="000000"/>
                <w:sz w:val="22"/>
                <w:lang w:val="en-GB" w:eastAsia="en-GB"/>
              </w:rPr>
            </w:pPr>
            <w:r>
              <w:rPr>
                <w:rFonts w:eastAsia="Times New Roman" w:cs="Calibri"/>
                <w:color w:val="000000"/>
                <w:sz w:val="22"/>
                <w:lang w:val="en-GB" w:eastAsia="en-GB"/>
              </w:rPr>
              <w:t>1.02</w:t>
            </w:r>
          </w:p>
        </w:tc>
        <w:tc>
          <w:tcPr>
            <w:tcW w:w="857" w:type="pct"/>
            <w:tcBorders>
              <w:top w:val="nil"/>
              <w:left w:val="nil"/>
              <w:bottom w:val="single" w:sz="4" w:space="0" w:color="auto"/>
              <w:right w:val="single" w:sz="4" w:space="0" w:color="auto"/>
            </w:tcBorders>
            <w:shd w:val="clear" w:color="auto" w:fill="auto"/>
            <w:vAlign w:val="center"/>
            <w:hideMark/>
          </w:tcPr>
          <w:p w14:paraId="0DC96194"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858" w:type="pct"/>
            <w:tcBorders>
              <w:top w:val="nil"/>
              <w:left w:val="nil"/>
              <w:bottom w:val="single" w:sz="4" w:space="0" w:color="auto"/>
              <w:right w:val="single" w:sz="4" w:space="0" w:color="auto"/>
            </w:tcBorders>
            <w:shd w:val="clear" w:color="auto" w:fill="auto"/>
            <w:vAlign w:val="center"/>
          </w:tcPr>
          <w:p w14:paraId="01B1340D" w14:textId="77777777" w:rsidR="005E277E" w:rsidRPr="00632986" w:rsidRDefault="005E277E" w:rsidP="00F46BE1">
            <w:pPr>
              <w:spacing w:line="240" w:lineRule="auto"/>
              <w:jc w:val="center"/>
              <w:rPr>
                <w:rFonts w:eastAsia="Times New Roman" w:cs="Calibri"/>
                <w:color w:val="000000"/>
                <w:sz w:val="22"/>
                <w:lang w:val="en-GB" w:eastAsia="en-GB"/>
              </w:rPr>
            </w:pPr>
          </w:p>
        </w:tc>
        <w:tc>
          <w:tcPr>
            <w:tcW w:w="594" w:type="pct"/>
            <w:tcBorders>
              <w:top w:val="nil"/>
              <w:left w:val="nil"/>
              <w:bottom w:val="single" w:sz="4" w:space="0" w:color="auto"/>
              <w:right w:val="single" w:sz="4" w:space="0" w:color="auto"/>
            </w:tcBorders>
            <w:shd w:val="clear" w:color="auto" w:fill="auto"/>
            <w:vAlign w:val="center"/>
            <w:hideMark/>
          </w:tcPr>
          <w:p w14:paraId="06267C91"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593" w:type="pct"/>
            <w:tcBorders>
              <w:top w:val="nil"/>
              <w:left w:val="nil"/>
              <w:bottom w:val="single" w:sz="4" w:space="0" w:color="auto"/>
              <w:right w:val="single" w:sz="4" w:space="0" w:color="auto"/>
            </w:tcBorders>
            <w:shd w:val="clear" w:color="auto" w:fill="auto"/>
            <w:vAlign w:val="center"/>
            <w:hideMark/>
          </w:tcPr>
          <w:p w14:paraId="0D856FBE"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b/>
                <w:bCs/>
                <w:color w:val="000000"/>
                <w:sz w:val="22"/>
                <w:lang w:val="en-GB" w:eastAsia="en-GB"/>
              </w:rPr>
              <w:t>1.05</w:t>
            </w:r>
          </w:p>
        </w:tc>
      </w:tr>
      <w:tr w:rsidR="005E277E" w:rsidRPr="00632986" w14:paraId="60C76C6A" w14:textId="77777777" w:rsidTr="00950B73">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081FDE05"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2</w:t>
            </w:r>
          </w:p>
        </w:tc>
        <w:tc>
          <w:tcPr>
            <w:tcW w:w="637" w:type="pct"/>
            <w:tcBorders>
              <w:top w:val="nil"/>
              <w:left w:val="nil"/>
              <w:bottom w:val="single" w:sz="4" w:space="0" w:color="auto"/>
              <w:right w:val="single" w:sz="4" w:space="0" w:color="auto"/>
            </w:tcBorders>
            <w:shd w:val="clear" w:color="auto" w:fill="auto"/>
            <w:vAlign w:val="center"/>
            <w:hideMark/>
          </w:tcPr>
          <w:p w14:paraId="49951552"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xml:space="preserve"> Indexation</w:t>
            </w:r>
          </w:p>
        </w:tc>
        <w:tc>
          <w:tcPr>
            <w:tcW w:w="407" w:type="pct"/>
            <w:tcBorders>
              <w:top w:val="single" w:sz="4" w:space="0" w:color="auto"/>
              <w:left w:val="nil"/>
              <w:bottom w:val="single" w:sz="4" w:space="0" w:color="auto"/>
              <w:right w:val="single" w:sz="4" w:space="0" w:color="auto"/>
            </w:tcBorders>
          </w:tcPr>
          <w:p w14:paraId="775FCAC5" w14:textId="77777777" w:rsidR="005E277E" w:rsidRPr="00632986" w:rsidRDefault="005E277E" w:rsidP="00F46BE1">
            <w:pPr>
              <w:spacing w:line="240" w:lineRule="auto"/>
              <w:jc w:val="right"/>
              <w:rPr>
                <w:rFonts w:eastAsia="Times New Roman" w:cs="Calibri"/>
                <w:color w:val="000000"/>
                <w:sz w:val="22"/>
                <w:lang w:val="en-GB" w:eastAsia="en-GB"/>
              </w:rPr>
            </w:pPr>
          </w:p>
        </w:tc>
        <w:tc>
          <w:tcPr>
            <w:tcW w:w="785" w:type="pct"/>
            <w:tcBorders>
              <w:top w:val="nil"/>
              <w:left w:val="single" w:sz="4" w:space="0" w:color="auto"/>
              <w:bottom w:val="single" w:sz="4" w:space="0" w:color="auto"/>
              <w:right w:val="single" w:sz="4" w:space="0" w:color="auto"/>
            </w:tcBorders>
            <w:shd w:val="clear" w:color="auto" w:fill="auto"/>
            <w:vAlign w:val="center"/>
            <w:hideMark/>
          </w:tcPr>
          <w:p w14:paraId="30F2DB8F" w14:textId="77777777" w:rsidR="005E277E" w:rsidRPr="00632986" w:rsidRDefault="005E277E" w:rsidP="00F46BE1">
            <w:pPr>
              <w:spacing w:line="240" w:lineRule="auto"/>
              <w:jc w:val="right"/>
              <w:rPr>
                <w:rFonts w:eastAsia="Times New Roman" w:cs="Calibri"/>
                <w:color w:val="000000"/>
                <w:sz w:val="22"/>
                <w:lang w:val="en-GB" w:eastAsia="en-GB"/>
              </w:rPr>
            </w:pPr>
            <w:r w:rsidRPr="00632986">
              <w:rPr>
                <w:rFonts w:eastAsia="Times New Roman" w:cs="Calibri"/>
                <w:color w:val="000000"/>
                <w:sz w:val="22"/>
                <w:lang w:val="en-GB" w:eastAsia="en-GB"/>
              </w:rPr>
              <w:t>2.59%</w:t>
            </w:r>
          </w:p>
        </w:tc>
        <w:tc>
          <w:tcPr>
            <w:tcW w:w="857" w:type="pct"/>
            <w:tcBorders>
              <w:top w:val="nil"/>
              <w:left w:val="nil"/>
              <w:bottom w:val="single" w:sz="4" w:space="0" w:color="auto"/>
              <w:right w:val="single" w:sz="4" w:space="0" w:color="auto"/>
            </w:tcBorders>
            <w:shd w:val="clear" w:color="auto" w:fill="auto"/>
            <w:vAlign w:val="center"/>
            <w:hideMark/>
          </w:tcPr>
          <w:p w14:paraId="6FDDB751"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858" w:type="pct"/>
            <w:tcBorders>
              <w:top w:val="nil"/>
              <w:left w:val="nil"/>
              <w:bottom w:val="single" w:sz="4" w:space="0" w:color="auto"/>
              <w:right w:val="single" w:sz="4" w:space="0" w:color="auto"/>
            </w:tcBorders>
            <w:shd w:val="clear" w:color="auto" w:fill="auto"/>
            <w:vAlign w:val="center"/>
          </w:tcPr>
          <w:p w14:paraId="27CE8B60" w14:textId="77777777" w:rsidR="005E277E" w:rsidRPr="00632986" w:rsidRDefault="005E277E" w:rsidP="00F46BE1">
            <w:pPr>
              <w:spacing w:line="240" w:lineRule="auto"/>
              <w:jc w:val="center"/>
              <w:rPr>
                <w:rFonts w:eastAsia="Times New Roman" w:cs="Calibri"/>
                <w:color w:val="000000"/>
                <w:sz w:val="22"/>
                <w:lang w:val="en-GB" w:eastAsia="en-GB"/>
              </w:rPr>
            </w:pPr>
          </w:p>
        </w:tc>
        <w:tc>
          <w:tcPr>
            <w:tcW w:w="594" w:type="pct"/>
            <w:tcBorders>
              <w:top w:val="nil"/>
              <w:left w:val="nil"/>
              <w:bottom w:val="single" w:sz="4" w:space="0" w:color="auto"/>
              <w:right w:val="single" w:sz="4" w:space="0" w:color="auto"/>
            </w:tcBorders>
            <w:shd w:val="clear" w:color="auto" w:fill="auto"/>
            <w:vAlign w:val="center"/>
            <w:hideMark/>
          </w:tcPr>
          <w:p w14:paraId="39C5998C"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593" w:type="pct"/>
            <w:tcBorders>
              <w:top w:val="nil"/>
              <w:left w:val="nil"/>
              <w:bottom w:val="single" w:sz="4" w:space="0" w:color="auto"/>
              <w:right w:val="single" w:sz="4" w:space="0" w:color="auto"/>
            </w:tcBorders>
            <w:shd w:val="clear" w:color="auto" w:fill="auto"/>
            <w:vAlign w:val="center"/>
            <w:hideMark/>
          </w:tcPr>
          <w:p w14:paraId="6CA0681F" w14:textId="77777777" w:rsidR="005E277E" w:rsidRPr="00632986" w:rsidRDefault="005E277E" w:rsidP="00F46BE1">
            <w:pPr>
              <w:spacing w:line="240" w:lineRule="auto"/>
              <w:jc w:val="center"/>
              <w:rPr>
                <w:rFonts w:eastAsia="Times New Roman" w:cs="Calibri"/>
                <w:color w:val="000000"/>
                <w:sz w:val="22"/>
                <w:lang w:val="en-GB" w:eastAsia="en-GB"/>
              </w:rPr>
            </w:pPr>
            <w:r w:rsidRPr="00632986">
              <w:rPr>
                <w:rFonts w:eastAsia="Times New Roman" w:cs="Calibri"/>
                <w:color w:val="000000"/>
                <w:sz w:val="22"/>
                <w:lang w:val="en-GB" w:eastAsia="en-GB"/>
              </w:rPr>
              <w:t> </w:t>
            </w:r>
            <w:r>
              <w:rPr>
                <w:rFonts w:eastAsia="Times New Roman" w:cs="Calibri"/>
                <w:color w:val="000000"/>
                <w:sz w:val="22"/>
                <w:lang w:val="en-GB" w:eastAsia="en-GB"/>
              </w:rPr>
              <w:t>3.99%</w:t>
            </w:r>
          </w:p>
        </w:tc>
      </w:tr>
      <w:tr w:rsidR="005E277E" w:rsidRPr="00632986" w14:paraId="47322713" w14:textId="77777777" w:rsidTr="00950B73">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D9701C9"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3</w:t>
            </w:r>
          </w:p>
        </w:tc>
        <w:tc>
          <w:tcPr>
            <w:tcW w:w="637" w:type="pct"/>
            <w:tcBorders>
              <w:top w:val="nil"/>
              <w:left w:val="nil"/>
              <w:bottom w:val="single" w:sz="4" w:space="0" w:color="auto"/>
              <w:right w:val="single" w:sz="4" w:space="0" w:color="auto"/>
            </w:tcBorders>
            <w:shd w:val="clear" w:color="auto" w:fill="auto"/>
            <w:vAlign w:val="center"/>
            <w:hideMark/>
          </w:tcPr>
          <w:p w14:paraId="052C6FB6"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Add: Inflationary Increase</w:t>
            </w:r>
          </w:p>
        </w:tc>
        <w:tc>
          <w:tcPr>
            <w:tcW w:w="407" w:type="pct"/>
            <w:tcBorders>
              <w:top w:val="single" w:sz="4" w:space="0" w:color="auto"/>
              <w:left w:val="nil"/>
              <w:bottom w:val="single" w:sz="4" w:space="0" w:color="auto"/>
              <w:right w:val="single" w:sz="4" w:space="0" w:color="auto"/>
            </w:tcBorders>
          </w:tcPr>
          <w:p w14:paraId="14C65DFB" w14:textId="77777777" w:rsidR="005E277E" w:rsidRDefault="005E277E" w:rsidP="00F46BE1">
            <w:pPr>
              <w:spacing w:line="240" w:lineRule="auto"/>
              <w:jc w:val="right"/>
              <w:rPr>
                <w:rFonts w:eastAsia="Times New Roman" w:cs="Calibri"/>
                <w:color w:val="000000"/>
                <w:sz w:val="22"/>
                <w:lang w:val="en-GB" w:eastAsia="en-GB"/>
              </w:rPr>
            </w:pPr>
          </w:p>
        </w:tc>
        <w:tc>
          <w:tcPr>
            <w:tcW w:w="785" w:type="pct"/>
            <w:tcBorders>
              <w:top w:val="nil"/>
              <w:left w:val="single" w:sz="4" w:space="0" w:color="auto"/>
              <w:bottom w:val="single" w:sz="4" w:space="0" w:color="auto"/>
              <w:right w:val="single" w:sz="4" w:space="0" w:color="auto"/>
            </w:tcBorders>
            <w:shd w:val="clear" w:color="auto" w:fill="auto"/>
            <w:vAlign w:val="center"/>
            <w:hideMark/>
          </w:tcPr>
          <w:p w14:paraId="191016E4" w14:textId="77777777" w:rsidR="005E277E" w:rsidRPr="00632986" w:rsidRDefault="005E277E" w:rsidP="00F46BE1">
            <w:pPr>
              <w:spacing w:line="240" w:lineRule="auto"/>
              <w:jc w:val="right"/>
              <w:rPr>
                <w:rFonts w:eastAsia="Times New Roman" w:cs="Calibri"/>
                <w:color w:val="000000"/>
                <w:sz w:val="22"/>
                <w:lang w:val="en-GB" w:eastAsia="en-GB"/>
              </w:rPr>
            </w:pPr>
            <w:r>
              <w:rPr>
                <w:rFonts w:eastAsia="Times New Roman" w:cs="Calibri"/>
                <w:color w:val="000000"/>
                <w:sz w:val="22"/>
                <w:lang w:val="en-GB" w:eastAsia="en-GB"/>
              </w:rPr>
              <w:t>0.03</w:t>
            </w:r>
          </w:p>
        </w:tc>
        <w:tc>
          <w:tcPr>
            <w:tcW w:w="857" w:type="pct"/>
            <w:tcBorders>
              <w:top w:val="nil"/>
              <w:left w:val="nil"/>
              <w:bottom w:val="single" w:sz="4" w:space="0" w:color="auto"/>
              <w:right w:val="single" w:sz="4" w:space="0" w:color="auto"/>
            </w:tcBorders>
            <w:shd w:val="clear" w:color="auto" w:fill="auto"/>
            <w:vAlign w:val="center"/>
            <w:hideMark/>
          </w:tcPr>
          <w:p w14:paraId="194ADEDB" w14:textId="77777777" w:rsidR="005E277E" w:rsidRPr="00632986" w:rsidRDefault="005E277E" w:rsidP="00F46BE1">
            <w:pPr>
              <w:spacing w:line="240" w:lineRule="auto"/>
              <w:jc w:val="left"/>
              <w:rPr>
                <w:rFonts w:eastAsia="Times New Roman" w:cs="Calibri"/>
                <w:color w:val="000000"/>
                <w:sz w:val="22"/>
                <w:lang w:val="en-GB" w:eastAsia="en-GB"/>
              </w:rPr>
            </w:pPr>
            <w:r w:rsidRPr="00632986">
              <w:rPr>
                <w:rFonts w:eastAsia="Times New Roman" w:cs="Calibri"/>
                <w:color w:val="000000"/>
                <w:sz w:val="22"/>
                <w:lang w:val="en-GB" w:eastAsia="en-GB"/>
              </w:rPr>
              <w:t> </w:t>
            </w:r>
          </w:p>
        </w:tc>
        <w:tc>
          <w:tcPr>
            <w:tcW w:w="858" w:type="pct"/>
            <w:tcBorders>
              <w:top w:val="nil"/>
              <w:left w:val="nil"/>
              <w:bottom w:val="single" w:sz="4" w:space="0" w:color="auto"/>
              <w:right w:val="single" w:sz="4" w:space="0" w:color="auto"/>
            </w:tcBorders>
            <w:shd w:val="clear" w:color="auto" w:fill="auto"/>
            <w:vAlign w:val="center"/>
          </w:tcPr>
          <w:p w14:paraId="6854299C" w14:textId="77777777" w:rsidR="005E277E" w:rsidRPr="00632986" w:rsidRDefault="005E277E" w:rsidP="00F46BE1">
            <w:pPr>
              <w:spacing w:line="240" w:lineRule="auto"/>
              <w:jc w:val="center"/>
              <w:rPr>
                <w:rFonts w:eastAsia="Times New Roman" w:cs="Calibri"/>
                <w:b/>
                <w:bCs/>
                <w:color w:val="000000"/>
                <w:sz w:val="22"/>
                <w:lang w:val="en-GB" w:eastAsia="en-GB"/>
              </w:rPr>
            </w:pPr>
          </w:p>
        </w:tc>
        <w:tc>
          <w:tcPr>
            <w:tcW w:w="594" w:type="pct"/>
            <w:tcBorders>
              <w:top w:val="nil"/>
              <w:left w:val="nil"/>
              <w:bottom w:val="single" w:sz="4" w:space="0" w:color="auto"/>
              <w:right w:val="single" w:sz="4" w:space="0" w:color="auto"/>
            </w:tcBorders>
            <w:shd w:val="clear" w:color="auto" w:fill="auto"/>
            <w:vAlign w:val="center"/>
            <w:hideMark/>
          </w:tcPr>
          <w:p w14:paraId="7FCD2C65" w14:textId="77777777" w:rsidR="005E277E" w:rsidRPr="00632986" w:rsidRDefault="005E277E" w:rsidP="00F46BE1">
            <w:pPr>
              <w:spacing w:line="240" w:lineRule="auto"/>
              <w:jc w:val="center"/>
              <w:rPr>
                <w:rFonts w:eastAsia="Times New Roman" w:cs="Calibri"/>
                <w:b/>
                <w:bCs/>
                <w:color w:val="000000"/>
                <w:sz w:val="22"/>
                <w:lang w:val="en-GB" w:eastAsia="en-GB"/>
              </w:rPr>
            </w:pPr>
            <w:r w:rsidRPr="00632986">
              <w:rPr>
                <w:rFonts w:eastAsia="Times New Roman" w:cs="Calibri"/>
                <w:b/>
                <w:bCs/>
                <w:color w:val="000000"/>
                <w:sz w:val="22"/>
                <w:lang w:val="en-GB" w:eastAsia="en-GB"/>
              </w:rPr>
              <w:t> </w:t>
            </w:r>
          </w:p>
        </w:tc>
        <w:tc>
          <w:tcPr>
            <w:tcW w:w="593" w:type="pct"/>
            <w:tcBorders>
              <w:top w:val="nil"/>
              <w:left w:val="nil"/>
              <w:bottom w:val="single" w:sz="4" w:space="0" w:color="auto"/>
              <w:right w:val="single" w:sz="4" w:space="0" w:color="auto"/>
            </w:tcBorders>
            <w:shd w:val="clear" w:color="auto" w:fill="auto"/>
            <w:vAlign w:val="center"/>
            <w:hideMark/>
          </w:tcPr>
          <w:p w14:paraId="7D2D2004"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0.04</w:t>
            </w:r>
          </w:p>
        </w:tc>
      </w:tr>
      <w:tr w:rsidR="005E277E" w:rsidRPr="00632986" w14:paraId="3F870B9A" w14:textId="77777777" w:rsidTr="00950B73">
        <w:trPr>
          <w:trHeight w:val="330"/>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A11D3D9" w14:textId="77777777" w:rsidR="005E277E" w:rsidRPr="00632986" w:rsidRDefault="005E277E" w:rsidP="00F46BE1">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4</w:t>
            </w:r>
          </w:p>
        </w:tc>
        <w:tc>
          <w:tcPr>
            <w:tcW w:w="637" w:type="pct"/>
            <w:tcBorders>
              <w:top w:val="nil"/>
              <w:left w:val="nil"/>
              <w:bottom w:val="single" w:sz="4" w:space="0" w:color="auto"/>
              <w:right w:val="single" w:sz="4" w:space="0" w:color="auto"/>
            </w:tcBorders>
            <w:shd w:val="clear" w:color="auto" w:fill="auto"/>
            <w:vAlign w:val="center"/>
            <w:hideMark/>
          </w:tcPr>
          <w:p w14:paraId="48F924C4" w14:textId="77777777" w:rsidR="005E277E" w:rsidRPr="000E6284" w:rsidRDefault="005E277E" w:rsidP="00F46BE1">
            <w:pPr>
              <w:spacing w:line="240" w:lineRule="auto"/>
              <w:jc w:val="left"/>
              <w:rPr>
                <w:rFonts w:eastAsia="Times New Roman" w:cs="Calibri"/>
                <w:b/>
                <w:bCs/>
                <w:color w:val="000000"/>
                <w:sz w:val="22"/>
                <w:lang w:val="en-GB" w:eastAsia="en-GB"/>
              </w:rPr>
            </w:pPr>
            <w:r w:rsidRPr="000E6284">
              <w:rPr>
                <w:rFonts w:eastAsia="Times New Roman" w:cs="Calibri"/>
                <w:b/>
                <w:bCs/>
                <w:color w:val="000000"/>
                <w:sz w:val="22"/>
                <w:lang w:val="en-GB" w:eastAsia="en-GB"/>
              </w:rPr>
              <w:t xml:space="preserve">Total </w:t>
            </w:r>
            <w:r w:rsidRPr="0063702F">
              <w:rPr>
                <w:rFonts w:eastAsia="Times New Roman" w:cs="Calibri"/>
                <w:b/>
                <w:color w:val="000000"/>
                <w:sz w:val="22"/>
                <w:lang w:val="en-GB" w:eastAsia="en-GB"/>
              </w:rPr>
              <w:t>R&amp;M</w:t>
            </w:r>
            <w:r w:rsidRPr="000E6284">
              <w:rPr>
                <w:rFonts w:eastAsia="Times New Roman" w:cs="Calibri"/>
                <w:b/>
                <w:color w:val="000000"/>
                <w:sz w:val="22"/>
                <w:lang w:val="en-GB" w:eastAsia="en-GB"/>
              </w:rPr>
              <w:t xml:space="preserve"> expenses</w:t>
            </w:r>
          </w:p>
        </w:tc>
        <w:tc>
          <w:tcPr>
            <w:tcW w:w="407" w:type="pct"/>
            <w:tcBorders>
              <w:top w:val="single" w:sz="4" w:space="0" w:color="auto"/>
              <w:left w:val="nil"/>
              <w:bottom w:val="single" w:sz="4" w:space="0" w:color="auto"/>
              <w:right w:val="single" w:sz="4" w:space="0" w:color="auto"/>
            </w:tcBorders>
            <w:vAlign w:val="center"/>
          </w:tcPr>
          <w:p w14:paraId="1904537D" w14:textId="77777777" w:rsidR="005E277E" w:rsidRDefault="005E277E" w:rsidP="005E277E">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0.15</w:t>
            </w:r>
          </w:p>
        </w:tc>
        <w:tc>
          <w:tcPr>
            <w:tcW w:w="785" w:type="pct"/>
            <w:tcBorders>
              <w:top w:val="nil"/>
              <w:left w:val="single" w:sz="4" w:space="0" w:color="auto"/>
              <w:bottom w:val="single" w:sz="4" w:space="0" w:color="auto"/>
              <w:right w:val="single" w:sz="4" w:space="0" w:color="auto"/>
            </w:tcBorders>
            <w:shd w:val="clear" w:color="auto" w:fill="auto"/>
            <w:vAlign w:val="center"/>
            <w:hideMark/>
          </w:tcPr>
          <w:p w14:paraId="5603A58B" w14:textId="77777777" w:rsidR="005E277E" w:rsidRPr="00632986" w:rsidRDefault="005E277E" w:rsidP="00F46BE1">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1.05</w:t>
            </w:r>
          </w:p>
        </w:tc>
        <w:tc>
          <w:tcPr>
            <w:tcW w:w="857" w:type="pct"/>
            <w:tcBorders>
              <w:top w:val="nil"/>
              <w:left w:val="nil"/>
              <w:bottom w:val="single" w:sz="4" w:space="0" w:color="auto"/>
              <w:right w:val="single" w:sz="4" w:space="0" w:color="auto"/>
            </w:tcBorders>
            <w:shd w:val="clear" w:color="auto" w:fill="auto"/>
            <w:vAlign w:val="center"/>
            <w:hideMark/>
          </w:tcPr>
          <w:p w14:paraId="64F2BC1B" w14:textId="77777777" w:rsidR="005E277E" w:rsidRPr="00632986" w:rsidRDefault="005E277E" w:rsidP="00F46BE1">
            <w:pPr>
              <w:spacing w:line="240" w:lineRule="auto"/>
              <w:jc w:val="right"/>
              <w:rPr>
                <w:rFonts w:eastAsia="Times New Roman" w:cs="Calibri"/>
                <w:b/>
                <w:bCs/>
                <w:color w:val="000000"/>
                <w:sz w:val="22"/>
                <w:lang w:val="en-GB" w:eastAsia="en-GB"/>
              </w:rPr>
            </w:pPr>
            <w:r>
              <w:rPr>
                <w:rFonts w:eastAsia="Times New Roman" w:cs="Calibri"/>
                <w:b/>
                <w:bCs/>
                <w:color w:val="000000"/>
                <w:sz w:val="22"/>
                <w:lang w:val="en-GB" w:eastAsia="en-GB"/>
              </w:rPr>
              <w:t>0.00</w:t>
            </w:r>
          </w:p>
        </w:tc>
        <w:tc>
          <w:tcPr>
            <w:tcW w:w="858" w:type="pct"/>
            <w:tcBorders>
              <w:top w:val="nil"/>
              <w:left w:val="nil"/>
              <w:bottom w:val="single" w:sz="4" w:space="0" w:color="auto"/>
              <w:right w:val="single" w:sz="4" w:space="0" w:color="auto"/>
            </w:tcBorders>
            <w:shd w:val="clear" w:color="auto" w:fill="auto"/>
            <w:vAlign w:val="center"/>
            <w:hideMark/>
          </w:tcPr>
          <w:p w14:paraId="4F274641" w14:textId="77777777" w:rsidR="005E277E" w:rsidRPr="00632986" w:rsidRDefault="005E277E" w:rsidP="00F46BE1">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1.05</w:t>
            </w:r>
          </w:p>
        </w:tc>
        <w:tc>
          <w:tcPr>
            <w:tcW w:w="594" w:type="pct"/>
            <w:tcBorders>
              <w:top w:val="nil"/>
              <w:left w:val="nil"/>
              <w:bottom w:val="single" w:sz="4" w:space="0" w:color="auto"/>
              <w:right w:val="single" w:sz="4" w:space="0" w:color="auto"/>
            </w:tcBorders>
            <w:shd w:val="clear" w:color="auto" w:fill="auto"/>
            <w:vAlign w:val="center"/>
            <w:hideMark/>
          </w:tcPr>
          <w:p w14:paraId="30BEFB6A" w14:textId="77777777" w:rsidR="005E277E" w:rsidRPr="00632986" w:rsidRDefault="005E277E" w:rsidP="00F46BE1">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1.05</w:t>
            </w:r>
          </w:p>
        </w:tc>
        <w:tc>
          <w:tcPr>
            <w:tcW w:w="593" w:type="pct"/>
            <w:tcBorders>
              <w:top w:val="nil"/>
              <w:left w:val="nil"/>
              <w:bottom w:val="single" w:sz="4" w:space="0" w:color="auto"/>
              <w:right w:val="single" w:sz="4" w:space="0" w:color="auto"/>
            </w:tcBorders>
            <w:shd w:val="clear" w:color="auto" w:fill="auto"/>
            <w:vAlign w:val="center"/>
            <w:hideMark/>
          </w:tcPr>
          <w:p w14:paraId="29BFD625" w14:textId="77777777" w:rsidR="005E277E" w:rsidRPr="000E6284" w:rsidRDefault="005E277E" w:rsidP="00F46BE1">
            <w:pPr>
              <w:spacing w:line="240" w:lineRule="auto"/>
              <w:jc w:val="center"/>
              <w:rPr>
                <w:rFonts w:eastAsia="Times New Roman" w:cs="Calibri"/>
                <w:b/>
                <w:color w:val="000000"/>
                <w:sz w:val="22"/>
                <w:lang w:val="en-GB" w:eastAsia="en-GB"/>
              </w:rPr>
            </w:pPr>
            <w:r>
              <w:rPr>
                <w:rFonts w:eastAsia="Times New Roman" w:cs="Calibri"/>
                <w:b/>
                <w:color w:val="000000"/>
                <w:sz w:val="22"/>
                <w:lang w:val="en-GB" w:eastAsia="en-GB"/>
              </w:rPr>
              <w:t>1.09</w:t>
            </w:r>
          </w:p>
        </w:tc>
      </w:tr>
    </w:tbl>
    <w:p w14:paraId="3AD4FBB2" w14:textId="77777777" w:rsidR="00CA22CF" w:rsidRDefault="00CA22CF" w:rsidP="00CA22CF"/>
    <w:p w14:paraId="17C8B2F5" w14:textId="77777777" w:rsidR="001318EC" w:rsidRDefault="001318EC" w:rsidP="0002209C"/>
    <w:p w14:paraId="5649EAEA" w14:textId="77777777" w:rsidR="006C0256" w:rsidRDefault="006C0256" w:rsidP="0002209C"/>
    <w:p w14:paraId="6CC60353" w14:textId="77777777" w:rsidR="006C0256" w:rsidRDefault="006C0256" w:rsidP="0002209C"/>
    <w:p w14:paraId="037A6BB6" w14:textId="77777777" w:rsidR="006C0256" w:rsidRDefault="006C0256" w:rsidP="0002209C"/>
    <w:p w14:paraId="0A82CF9B" w14:textId="77777777" w:rsidR="006C0256" w:rsidRDefault="006C0256" w:rsidP="0002209C"/>
    <w:p w14:paraId="57632069" w14:textId="77777777" w:rsidR="006C0256" w:rsidRDefault="006C0256" w:rsidP="0002209C"/>
    <w:p w14:paraId="10DF3157" w14:textId="77777777" w:rsidR="006C0256" w:rsidRDefault="006C0256" w:rsidP="0002209C"/>
    <w:p w14:paraId="5D749E3C" w14:textId="77777777" w:rsidR="006C0256" w:rsidRDefault="006C0256" w:rsidP="0002209C"/>
    <w:p w14:paraId="0EEEBCF4" w14:textId="77777777" w:rsidR="006C0256" w:rsidRDefault="006C0256" w:rsidP="0002209C"/>
    <w:p w14:paraId="77D39C8D" w14:textId="77777777" w:rsidR="006C0256" w:rsidRDefault="006C0256" w:rsidP="0002209C"/>
    <w:p w14:paraId="09862BF0" w14:textId="77777777" w:rsidR="00CF568D" w:rsidRDefault="00CF568D" w:rsidP="00CF568D">
      <w:pPr>
        <w:pStyle w:val="Heading3"/>
      </w:pPr>
      <w:bookmarkStart w:id="24" w:name="_Toc498423462"/>
      <w:r>
        <w:lastRenderedPageBreak/>
        <w:t xml:space="preserve">Summary of </w:t>
      </w:r>
      <w:proofErr w:type="spellStart"/>
      <w:r>
        <w:t>O&amp;M</w:t>
      </w:r>
      <w:proofErr w:type="spellEnd"/>
      <w:r>
        <w:t xml:space="preserve"> Expenses</w:t>
      </w:r>
      <w:bookmarkEnd w:id="24"/>
    </w:p>
    <w:p w14:paraId="7B503BE0" w14:textId="77777777" w:rsidR="00CF568D" w:rsidRDefault="00CF568D" w:rsidP="00CF568D"/>
    <w:p w14:paraId="5015E83A" w14:textId="77777777" w:rsidR="00CF568D" w:rsidRPr="005B1835" w:rsidRDefault="00CF568D" w:rsidP="00CF568D">
      <w:r w:rsidRPr="005B1835">
        <w:t xml:space="preserve">The summary of the </w:t>
      </w:r>
      <w:proofErr w:type="spellStart"/>
      <w:r w:rsidRPr="005B1835">
        <w:t>O&amp;M</w:t>
      </w:r>
      <w:proofErr w:type="spellEnd"/>
      <w:r w:rsidRPr="005B1835">
        <w:t xml:space="preserve"> expenses is tabulated below for reference:</w:t>
      </w:r>
    </w:p>
    <w:p w14:paraId="5E14569B" w14:textId="77777777" w:rsidR="00FC3260" w:rsidRPr="00FC3260" w:rsidRDefault="00FC3260" w:rsidP="00CA386D"/>
    <w:p w14:paraId="4895965A" w14:textId="3554D8D1" w:rsidR="00CF568D" w:rsidRDefault="00CF568D" w:rsidP="00CF568D">
      <w:pPr>
        <w:pStyle w:val="Caption"/>
        <w:spacing w:after="240"/>
      </w:pPr>
      <w:bookmarkStart w:id="25" w:name="_Toc498423476"/>
      <w:r w:rsidRPr="00C66B01">
        <w:t xml:space="preserve">Table </w:t>
      </w:r>
      <w:fldSimple w:instr=" STYLEREF 1 \s ">
        <w:r w:rsidR="0045624D">
          <w:rPr>
            <w:noProof/>
          </w:rPr>
          <w:t>2</w:t>
        </w:r>
      </w:fldSimple>
      <w:r>
        <w:noBreakHyphen/>
      </w:r>
      <w:fldSimple w:instr=" SEQ Table \* ARABIC \s 1 ">
        <w:r w:rsidR="0045624D">
          <w:rPr>
            <w:noProof/>
          </w:rPr>
          <w:t>7</w:t>
        </w:r>
      </w:fldSimple>
      <w:r>
        <w:t>:</w:t>
      </w:r>
      <w:r w:rsidRPr="00C66B01">
        <w:t xml:space="preserve"> </w:t>
      </w:r>
      <w:r w:rsidR="00067831">
        <w:t>S</w:t>
      </w:r>
      <w:r w:rsidR="00067831" w:rsidRPr="005B1835">
        <w:t xml:space="preserve">ummary of the </w:t>
      </w:r>
      <w:proofErr w:type="spellStart"/>
      <w:r w:rsidR="00067831" w:rsidRPr="005B1835">
        <w:t>O&amp;M</w:t>
      </w:r>
      <w:proofErr w:type="spellEnd"/>
      <w:r w:rsidR="00067831" w:rsidRPr="005B1835">
        <w:t xml:space="preserve"> expenses</w:t>
      </w:r>
      <w:r w:rsidR="004762D8">
        <w:t xml:space="preserve"> for </w:t>
      </w:r>
      <w:r w:rsidR="00067831">
        <w:t xml:space="preserve">FY 2017-18 and </w:t>
      </w:r>
      <w:r w:rsidR="004762D8">
        <w:t>FY 2018-19</w:t>
      </w:r>
      <w:r w:rsidR="00DE6DDA">
        <w:t xml:space="preserve"> </w:t>
      </w:r>
      <w:r>
        <w:t xml:space="preserve">(Rs. </w:t>
      </w:r>
      <w:proofErr w:type="spellStart"/>
      <w:r>
        <w:t>Crore</w:t>
      </w:r>
      <w:proofErr w:type="spellEnd"/>
      <w:r>
        <w:t>)</w:t>
      </w:r>
      <w:bookmarkEnd w:id="25"/>
    </w:p>
    <w:tbl>
      <w:tblPr>
        <w:tblW w:w="98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552"/>
        <w:gridCol w:w="1701"/>
        <w:gridCol w:w="2126"/>
        <w:gridCol w:w="1368"/>
        <w:gridCol w:w="1417"/>
      </w:tblGrid>
      <w:tr w:rsidR="005E277E" w:rsidRPr="00A06430" w14:paraId="4406411A" w14:textId="77777777" w:rsidTr="005E277E">
        <w:trPr>
          <w:trHeight w:val="398"/>
          <w:tblHeader/>
        </w:trPr>
        <w:tc>
          <w:tcPr>
            <w:tcW w:w="709" w:type="dxa"/>
            <w:vMerge w:val="restart"/>
            <w:shd w:val="clear" w:color="auto" w:fill="FABF8F" w:themeFill="accent6" w:themeFillTint="99"/>
            <w:vAlign w:val="center"/>
          </w:tcPr>
          <w:p w14:paraId="2DB5E086" w14:textId="77777777" w:rsidR="005E277E" w:rsidRPr="00A06430" w:rsidRDefault="005E277E" w:rsidP="00632986">
            <w:pPr>
              <w:ind w:left="-82"/>
              <w:rPr>
                <w:b/>
                <w:bCs/>
                <w:color w:val="000000"/>
              </w:rPr>
            </w:pPr>
          </w:p>
          <w:p w14:paraId="357348C0" w14:textId="77777777" w:rsidR="005E277E" w:rsidRPr="00A06430" w:rsidRDefault="005E277E" w:rsidP="00632986">
            <w:pPr>
              <w:rPr>
                <w:b/>
                <w:bCs/>
                <w:color w:val="000000"/>
              </w:rPr>
            </w:pPr>
            <w:r w:rsidRPr="00A06430">
              <w:rPr>
                <w:b/>
                <w:bCs/>
                <w:color w:val="000000"/>
                <w:sz w:val="22"/>
              </w:rPr>
              <w:t xml:space="preserve">  Sl.</w:t>
            </w:r>
            <w:r>
              <w:rPr>
                <w:b/>
                <w:bCs/>
                <w:color w:val="000000"/>
                <w:sz w:val="22"/>
              </w:rPr>
              <w:t xml:space="preserve"> </w:t>
            </w:r>
            <w:r w:rsidRPr="00A06430">
              <w:rPr>
                <w:b/>
                <w:bCs/>
                <w:color w:val="000000"/>
                <w:sz w:val="22"/>
              </w:rPr>
              <w:t>No</w:t>
            </w:r>
            <w:r>
              <w:rPr>
                <w:b/>
                <w:bCs/>
                <w:color w:val="000000"/>
                <w:sz w:val="22"/>
              </w:rPr>
              <w:t>.</w:t>
            </w:r>
          </w:p>
        </w:tc>
        <w:tc>
          <w:tcPr>
            <w:tcW w:w="2552" w:type="dxa"/>
            <w:vMerge w:val="restart"/>
            <w:shd w:val="clear" w:color="auto" w:fill="FABF8F" w:themeFill="accent6" w:themeFillTint="99"/>
            <w:vAlign w:val="center"/>
          </w:tcPr>
          <w:p w14:paraId="22BABFF3" w14:textId="77777777" w:rsidR="005E277E" w:rsidRPr="00A06430" w:rsidRDefault="005E277E" w:rsidP="00632986">
            <w:pPr>
              <w:jc w:val="center"/>
              <w:rPr>
                <w:b/>
                <w:bCs/>
                <w:color w:val="000000"/>
              </w:rPr>
            </w:pPr>
            <w:r w:rsidRPr="00A06430">
              <w:rPr>
                <w:b/>
                <w:bCs/>
                <w:color w:val="000000"/>
                <w:sz w:val="22"/>
              </w:rPr>
              <w:t>Particulars</w:t>
            </w:r>
          </w:p>
        </w:tc>
        <w:tc>
          <w:tcPr>
            <w:tcW w:w="1701" w:type="dxa"/>
            <w:shd w:val="clear" w:color="auto" w:fill="FABF8F" w:themeFill="accent6" w:themeFillTint="99"/>
          </w:tcPr>
          <w:p w14:paraId="71628AB7" w14:textId="77777777" w:rsidR="005E277E" w:rsidRPr="00811B2D" w:rsidRDefault="005E277E" w:rsidP="00632986">
            <w:pPr>
              <w:jc w:val="center"/>
              <w:rPr>
                <w:b/>
                <w:bCs/>
                <w:color w:val="000000"/>
                <w:sz w:val="22"/>
              </w:rPr>
            </w:pPr>
            <w:r>
              <w:rPr>
                <w:b/>
                <w:bCs/>
                <w:color w:val="000000"/>
                <w:sz w:val="22"/>
              </w:rPr>
              <w:t>FY 2016-17</w:t>
            </w:r>
          </w:p>
        </w:tc>
        <w:tc>
          <w:tcPr>
            <w:tcW w:w="2126" w:type="dxa"/>
            <w:shd w:val="clear" w:color="auto" w:fill="FABF8F" w:themeFill="accent6" w:themeFillTint="99"/>
          </w:tcPr>
          <w:p w14:paraId="6C708C95" w14:textId="77777777" w:rsidR="005E277E" w:rsidRPr="00811B2D" w:rsidRDefault="005E277E" w:rsidP="00632986">
            <w:pPr>
              <w:jc w:val="center"/>
              <w:rPr>
                <w:b/>
                <w:bCs/>
                <w:color w:val="000000"/>
                <w:sz w:val="22"/>
              </w:rPr>
            </w:pPr>
            <w:r w:rsidRPr="00811B2D">
              <w:rPr>
                <w:b/>
                <w:bCs/>
                <w:color w:val="000000"/>
                <w:sz w:val="22"/>
              </w:rPr>
              <w:t xml:space="preserve">FY </w:t>
            </w:r>
            <w:r>
              <w:rPr>
                <w:b/>
                <w:bCs/>
                <w:color w:val="000000"/>
                <w:sz w:val="22"/>
              </w:rPr>
              <w:t>2017-18</w:t>
            </w:r>
          </w:p>
        </w:tc>
        <w:tc>
          <w:tcPr>
            <w:tcW w:w="1368" w:type="dxa"/>
            <w:shd w:val="clear" w:color="auto" w:fill="FABF8F" w:themeFill="accent6" w:themeFillTint="99"/>
          </w:tcPr>
          <w:p w14:paraId="34CE24F1" w14:textId="77777777" w:rsidR="005E277E" w:rsidRDefault="005E277E" w:rsidP="00632986">
            <w:pPr>
              <w:jc w:val="center"/>
              <w:rPr>
                <w:b/>
                <w:bCs/>
                <w:color w:val="000000"/>
                <w:sz w:val="22"/>
              </w:rPr>
            </w:pPr>
            <w:r w:rsidRPr="00811B2D">
              <w:rPr>
                <w:b/>
                <w:bCs/>
                <w:color w:val="000000"/>
                <w:sz w:val="22"/>
              </w:rPr>
              <w:t xml:space="preserve">FY </w:t>
            </w:r>
            <w:r>
              <w:rPr>
                <w:b/>
                <w:bCs/>
                <w:color w:val="000000"/>
                <w:sz w:val="22"/>
              </w:rPr>
              <w:t xml:space="preserve">2017-18 </w:t>
            </w:r>
          </w:p>
        </w:tc>
        <w:tc>
          <w:tcPr>
            <w:tcW w:w="1417" w:type="dxa"/>
            <w:shd w:val="clear" w:color="auto" w:fill="FABF8F" w:themeFill="accent6" w:themeFillTint="99"/>
          </w:tcPr>
          <w:p w14:paraId="636C1248" w14:textId="77777777" w:rsidR="005E277E" w:rsidRDefault="005E277E" w:rsidP="00632986">
            <w:pPr>
              <w:jc w:val="center"/>
              <w:rPr>
                <w:b/>
                <w:bCs/>
                <w:color w:val="000000"/>
                <w:sz w:val="22"/>
              </w:rPr>
            </w:pPr>
            <w:r>
              <w:rPr>
                <w:b/>
                <w:bCs/>
                <w:color w:val="000000"/>
                <w:sz w:val="22"/>
              </w:rPr>
              <w:t>FY 2018-19</w:t>
            </w:r>
          </w:p>
        </w:tc>
      </w:tr>
      <w:tr w:rsidR="005E277E" w:rsidRPr="00A06430" w14:paraId="750D33EB" w14:textId="77777777" w:rsidTr="005E277E">
        <w:trPr>
          <w:trHeight w:val="58"/>
          <w:tblHeader/>
        </w:trPr>
        <w:tc>
          <w:tcPr>
            <w:tcW w:w="709" w:type="dxa"/>
            <w:vMerge/>
            <w:shd w:val="clear" w:color="auto" w:fill="FABF8F" w:themeFill="accent6" w:themeFillTint="99"/>
            <w:vAlign w:val="center"/>
          </w:tcPr>
          <w:p w14:paraId="3EFC6055" w14:textId="77777777" w:rsidR="005E277E" w:rsidRPr="00A06430" w:rsidRDefault="005E277E" w:rsidP="00632986">
            <w:pPr>
              <w:widowControl w:val="0"/>
              <w:spacing w:before="4"/>
              <w:ind w:left="154"/>
              <w:rPr>
                <w:rFonts w:eastAsia="Calibri" w:cs="David"/>
              </w:rPr>
            </w:pPr>
          </w:p>
        </w:tc>
        <w:tc>
          <w:tcPr>
            <w:tcW w:w="2552" w:type="dxa"/>
            <w:vMerge/>
            <w:shd w:val="clear" w:color="auto" w:fill="FABF8F" w:themeFill="accent6" w:themeFillTint="99"/>
            <w:vAlign w:val="center"/>
          </w:tcPr>
          <w:p w14:paraId="73086734" w14:textId="77777777" w:rsidR="005E277E" w:rsidRPr="00A06430" w:rsidRDefault="005E277E" w:rsidP="00632986">
            <w:pPr>
              <w:widowControl w:val="0"/>
              <w:spacing w:before="4"/>
              <w:ind w:left="25"/>
              <w:rPr>
                <w:rFonts w:eastAsia="Calibri" w:cs="David"/>
              </w:rPr>
            </w:pPr>
          </w:p>
        </w:tc>
        <w:tc>
          <w:tcPr>
            <w:tcW w:w="1701" w:type="dxa"/>
            <w:shd w:val="clear" w:color="auto" w:fill="FABF8F" w:themeFill="accent6" w:themeFillTint="99"/>
          </w:tcPr>
          <w:p w14:paraId="246C3D4A" w14:textId="77777777" w:rsidR="005E277E" w:rsidRPr="004762D8" w:rsidRDefault="005E277E" w:rsidP="00632986">
            <w:pPr>
              <w:widowControl w:val="0"/>
              <w:spacing w:before="4"/>
              <w:ind w:left="25"/>
              <w:jc w:val="center"/>
              <w:rPr>
                <w:rFonts w:eastAsia="Calibri" w:cs="David"/>
                <w:b/>
                <w:sz w:val="22"/>
              </w:rPr>
            </w:pPr>
            <w:r>
              <w:rPr>
                <w:rFonts w:eastAsia="Calibri" w:cs="David"/>
                <w:b/>
                <w:sz w:val="22"/>
              </w:rPr>
              <w:t>Actual</w:t>
            </w:r>
          </w:p>
        </w:tc>
        <w:tc>
          <w:tcPr>
            <w:tcW w:w="2126" w:type="dxa"/>
            <w:shd w:val="clear" w:color="auto" w:fill="FABF8F" w:themeFill="accent6" w:themeFillTint="99"/>
          </w:tcPr>
          <w:p w14:paraId="6777FC0C" w14:textId="77777777" w:rsidR="005E277E" w:rsidRPr="004762D8" w:rsidRDefault="005E277E" w:rsidP="00632986">
            <w:pPr>
              <w:widowControl w:val="0"/>
              <w:spacing w:before="4"/>
              <w:ind w:left="25"/>
              <w:jc w:val="center"/>
              <w:rPr>
                <w:rFonts w:eastAsia="Calibri" w:cs="David"/>
                <w:b/>
                <w:sz w:val="22"/>
              </w:rPr>
            </w:pPr>
            <w:r w:rsidRPr="004762D8">
              <w:rPr>
                <w:rFonts w:eastAsia="Calibri" w:cs="David"/>
                <w:b/>
                <w:sz w:val="22"/>
              </w:rPr>
              <w:t>Tariff Order dated 9 March 2017</w:t>
            </w:r>
          </w:p>
        </w:tc>
        <w:tc>
          <w:tcPr>
            <w:tcW w:w="1368" w:type="dxa"/>
            <w:shd w:val="clear" w:color="auto" w:fill="FABF8F" w:themeFill="accent6" w:themeFillTint="99"/>
          </w:tcPr>
          <w:p w14:paraId="010D5319" w14:textId="77777777" w:rsidR="005E277E" w:rsidRPr="00811B2D" w:rsidRDefault="005E277E" w:rsidP="00632986">
            <w:pPr>
              <w:widowControl w:val="0"/>
              <w:spacing w:before="4"/>
              <w:ind w:left="25"/>
              <w:jc w:val="center"/>
              <w:rPr>
                <w:rFonts w:eastAsia="Calibri" w:cs="David"/>
                <w:b/>
              </w:rPr>
            </w:pPr>
            <w:r>
              <w:rPr>
                <w:b/>
                <w:bCs/>
                <w:color w:val="000000"/>
                <w:sz w:val="22"/>
              </w:rPr>
              <w:t>Revised</w:t>
            </w:r>
          </w:p>
        </w:tc>
        <w:tc>
          <w:tcPr>
            <w:tcW w:w="1417" w:type="dxa"/>
            <w:shd w:val="clear" w:color="auto" w:fill="FABF8F" w:themeFill="accent6" w:themeFillTint="99"/>
          </w:tcPr>
          <w:p w14:paraId="7739876C" w14:textId="77777777" w:rsidR="005E277E" w:rsidRPr="00811B2D" w:rsidRDefault="005E277E" w:rsidP="00632986">
            <w:pPr>
              <w:widowControl w:val="0"/>
              <w:spacing w:before="4"/>
              <w:ind w:left="25"/>
              <w:jc w:val="center"/>
              <w:rPr>
                <w:rFonts w:eastAsia="Calibri" w:cs="David"/>
                <w:b/>
              </w:rPr>
            </w:pPr>
            <w:r>
              <w:rPr>
                <w:rFonts w:eastAsia="Calibri" w:cs="David"/>
                <w:b/>
              </w:rPr>
              <w:t>Projection</w:t>
            </w:r>
          </w:p>
        </w:tc>
      </w:tr>
      <w:tr w:rsidR="0092447A" w:rsidRPr="00A06430" w14:paraId="019C9F0E" w14:textId="77777777" w:rsidTr="00CA386D">
        <w:trPr>
          <w:trHeight w:val="307"/>
          <w:tblHeader/>
        </w:trPr>
        <w:tc>
          <w:tcPr>
            <w:tcW w:w="709" w:type="dxa"/>
            <w:vAlign w:val="center"/>
          </w:tcPr>
          <w:p w14:paraId="168DA327" w14:textId="77777777" w:rsidR="0092447A" w:rsidRPr="00A06430" w:rsidRDefault="0092447A" w:rsidP="0092447A">
            <w:pPr>
              <w:widowControl w:val="0"/>
              <w:spacing w:before="4"/>
              <w:ind w:left="14"/>
              <w:jc w:val="center"/>
              <w:rPr>
                <w:rFonts w:eastAsia="Calibri" w:cs="David"/>
              </w:rPr>
            </w:pPr>
            <w:r w:rsidRPr="00A06430">
              <w:rPr>
                <w:rFonts w:eastAsia="Calibri" w:cs="David"/>
                <w:sz w:val="22"/>
              </w:rPr>
              <w:t>1</w:t>
            </w:r>
          </w:p>
        </w:tc>
        <w:tc>
          <w:tcPr>
            <w:tcW w:w="2552" w:type="dxa"/>
            <w:vAlign w:val="center"/>
          </w:tcPr>
          <w:p w14:paraId="52B8CE7B" w14:textId="77777777" w:rsidR="0092447A" w:rsidRPr="00A06430" w:rsidRDefault="0092447A" w:rsidP="0092447A">
            <w:pPr>
              <w:widowControl w:val="0"/>
              <w:ind w:left="390"/>
              <w:rPr>
                <w:rFonts w:eastAsia="Calibri" w:cs="David"/>
                <w:color w:val="000000"/>
              </w:rPr>
            </w:pPr>
            <w:r>
              <w:rPr>
                <w:rFonts w:eastAsia="Calibri" w:cs="David"/>
                <w:color w:val="000000"/>
                <w:sz w:val="22"/>
              </w:rPr>
              <w:t>Employee Expenses</w:t>
            </w:r>
          </w:p>
        </w:tc>
        <w:tc>
          <w:tcPr>
            <w:tcW w:w="1701" w:type="dxa"/>
            <w:vAlign w:val="center"/>
          </w:tcPr>
          <w:p w14:paraId="16D6312F" w14:textId="77777777" w:rsidR="0092447A" w:rsidRDefault="0092447A" w:rsidP="0092447A">
            <w:pPr>
              <w:spacing w:line="240" w:lineRule="auto"/>
              <w:jc w:val="center"/>
              <w:rPr>
                <w:rFonts w:cs="Calibri"/>
                <w:color w:val="000000"/>
                <w:sz w:val="22"/>
              </w:rPr>
            </w:pPr>
            <w:r>
              <w:rPr>
                <w:rFonts w:cs="Calibri"/>
                <w:color w:val="000000"/>
                <w:sz w:val="22"/>
              </w:rPr>
              <w:t>2.32</w:t>
            </w:r>
          </w:p>
        </w:tc>
        <w:tc>
          <w:tcPr>
            <w:tcW w:w="2126" w:type="dxa"/>
            <w:vAlign w:val="center"/>
          </w:tcPr>
          <w:p w14:paraId="32298C27" w14:textId="77777777" w:rsidR="0092447A" w:rsidRDefault="0092447A" w:rsidP="0092447A">
            <w:pPr>
              <w:spacing w:line="240" w:lineRule="auto"/>
              <w:jc w:val="center"/>
              <w:rPr>
                <w:rFonts w:cs="Calibri"/>
                <w:color w:val="000000"/>
                <w:sz w:val="22"/>
              </w:rPr>
            </w:pPr>
            <w:r>
              <w:rPr>
                <w:rFonts w:cs="Calibri"/>
                <w:color w:val="000000"/>
                <w:sz w:val="22"/>
              </w:rPr>
              <w:t>3.77</w:t>
            </w:r>
          </w:p>
        </w:tc>
        <w:tc>
          <w:tcPr>
            <w:tcW w:w="1368" w:type="dxa"/>
            <w:vAlign w:val="bottom"/>
          </w:tcPr>
          <w:p w14:paraId="7EF270DB" w14:textId="130E875F" w:rsidR="0092447A" w:rsidRDefault="0092447A" w:rsidP="0092447A">
            <w:pPr>
              <w:spacing w:line="240" w:lineRule="auto"/>
              <w:jc w:val="center"/>
              <w:rPr>
                <w:rFonts w:cs="Calibri"/>
                <w:color w:val="000000"/>
                <w:sz w:val="22"/>
              </w:rPr>
            </w:pPr>
            <w:r>
              <w:rPr>
                <w:rFonts w:cs="Calibri"/>
                <w:color w:val="000000"/>
                <w:sz w:val="22"/>
              </w:rPr>
              <w:t>6.84</w:t>
            </w:r>
          </w:p>
        </w:tc>
        <w:tc>
          <w:tcPr>
            <w:tcW w:w="1417" w:type="dxa"/>
            <w:vAlign w:val="bottom"/>
          </w:tcPr>
          <w:p w14:paraId="35E086B5" w14:textId="2F6BF8E4" w:rsidR="0092447A" w:rsidRDefault="0092447A" w:rsidP="0092447A">
            <w:pPr>
              <w:jc w:val="center"/>
              <w:rPr>
                <w:rFonts w:cs="Calibri"/>
                <w:color w:val="000000"/>
                <w:sz w:val="22"/>
              </w:rPr>
            </w:pPr>
            <w:r>
              <w:rPr>
                <w:rFonts w:cs="Calibri"/>
                <w:color w:val="000000"/>
                <w:sz w:val="22"/>
              </w:rPr>
              <w:t>7.11</w:t>
            </w:r>
          </w:p>
        </w:tc>
      </w:tr>
      <w:tr w:rsidR="0092447A" w:rsidRPr="00A06430" w14:paraId="0DE939FD" w14:textId="77777777" w:rsidTr="00CA386D">
        <w:trPr>
          <w:trHeight w:val="336"/>
          <w:tblHeader/>
        </w:trPr>
        <w:tc>
          <w:tcPr>
            <w:tcW w:w="709" w:type="dxa"/>
            <w:vAlign w:val="center"/>
          </w:tcPr>
          <w:p w14:paraId="708E92A2" w14:textId="77777777" w:rsidR="0092447A" w:rsidRPr="00A06430" w:rsidRDefault="0092447A" w:rsidP="0092447A">
            <w:pPr>
              <w:widowControl w:val="0"/>
              <w:spacing w:before="4"/>
              <w:ind w:left="14"/>
              <w:jc w:val="center"/>
              <w:rPr>
                <w:rFonts w:eastAsia="Calibri" w:cs="David"/>
              </w:rPr>
            </w:pPr>
            <w:r w:rsidRPr="00A06430">
              <w:rPr>
                <w:rFonts w:eastAsia="Calibri" w:cs="David"/>
                <w:sz w:val="22"/>
              </w:rPr>
              <w:t>2</w:t>
            </w:r>
          </w:p>
        </w:tc>
        <w:tc>
          <w:tcPr>
            <w:tcW w:w="2552" w:type="dxa"/>
            <w:vAlign w:val="center"/>
          </w:tcPr>
          <w:p w14:paraId="289C33AF" w14:textId="77777777" w:rsidR="0092447A" w:rsidRPr="00A06430" w:rsidRDefault="0092447A" w:rsidP="0092447A">
            <w:pPr>
              <w:widowControl w:val="0"/>
              <w:ind w:left="390"/>
              <w:rPr>
                <w:rFonts w:eastAsia="Calibri" w:cs="David"/>
                <w:color w:val="000000"/>
              </w:rPr>
            </w:pPr>
            <w:proofErr w:type="spellStart"/>
            <w:r>
              <w:rPr>
                <w:rFonts w:eastAsia="Calibri" w:cs="David"/>
                <w:color w:val="000000"/>
                <w:sz w:val="22"/>
              </w:rPr>
              <w:t>A&amp;G</w:t>
            </w:r>
            <w:proofErr w:type="spellEnd"/>
            <w:r>
              <w:rPr>
                <w:rFonts w:eastAsia="Calibri" w:cs="David"/>
                <w:color w:val="000000"/>
                <w:sz w:val="22"/>
              </w:rPr>
              <w:t xml:space="preserve"> Expenses</w:t>
            </w:r>
          </w:p>
        </w:tc>
        <w:tc>
          <w:tcPr>
            <w:tcW w:w="1701" w:type="dxa"/>
            <w:vAlign w:val="center"/>
          </w:tcPr>
          <w:p w14:paraId="0B779612" w14:textId="77777777" w:rsidR="0092447A" w:rsidRDefault="0092447A" w:rsidP="0092447A">
            <w:pPr>
              <w:spacing w:line="240" w:lineRule="auto"/>
              <w:jc w:val="center"/>
              <w:rPr>
                <w:rFonts w:cs="Calibri"/>
                <w:color w:val="000000"/>
                <w:sz w:val="22"/>
              </w:rPr>
            </w:pPr>
            <w:r>
              <w:rPr>
                <w:rFonts w:cs="Calibri"/>
                <w:color w:val="000000"/>
                <w:sz w:val="22"/>
              </w:rPr>
              <w:t>0.51</w:t>
            </w:r>
          </w:p>
        </w:tc>
        <w:tc>
          <w:tcPr>
            <w:tcW w:w="2126" w:type="dxa"/>
            <w:vAlign w:val="center"/>
          </w:tcPr>
          <w:p w14:paraId="05C4EDAF" w14:textId="77777777" w:rsidR="0092447A" w:rsidRDefault="0092447A" w:rsidP="0092447A">
            <w:pPr>
              <w:jc w:val="center"/>
              <w:rPr>
                <w:rFonts w:cs="Calibri"/>
                <w:color w:val="000000"/>
                <w:sz w:val="22"/>
              </w:rPr>
            </w:pPr>
            <w:r>
              <w:rPr>
                <w:rFonts w:cs="Calibri"/>
                <w:color w:val="000000"/>
                <w:sz w:val="22"/>
              </w:rPr>
              <w:t>0.43</w:t>
            </w:r>
          </w:p>
        </w:tc>
        <w:tc>
          <w:tcPr>
            <w:tcW w:w="1368" w:type="dxa"/>
            <w:vAlign w:val="bottom"/>
          </w:tcPr>
          <w:p w14:paraId="6EDF0E70" w14:textId="5C381134" w:rsidR="0092447A" w:rsidRDefault="0092447A" w:rsidP="0092447A">
            <w:pPr>
              <w:jc w:val="center"/>
              <w:rPr>
                <w:rFonts w:cs="Calibri"/>
                <w:color w:val="000000"/>
                <w:sz w:val="22"/>
              </w:rPr>
            </w:pPr>
            <w:r>
              <w:rPr>
                <w:rFonts w:cs="Calibri"/>
                <w:color w:val="000000"/>
                <w:sz w:val="22"/>
              </w:rPr>
              <w:t>0.57</w:t>
            </w:r>
          </w:p>
        </w:tc>
        <w:tc>
          <w:tcPr>
            <w:tcW w:w="1417" w:type="dxa"/>
            <w:vAlign w:val="bottom"/>
          </w:tcPr>
          <w:p w14:paraId="7E39E3E8" w14:textId="6DF8D194" w:rsidR="0092447A" w:rsidRDefault="0092447A" w:rsidP="0092447A">
            <w:pPr>
              <w:jc w:val="center"/>
              <w:rPr>
                <w:rFonts w:cs="Calibri"/>
                <w:color w:val="000000"/>
                <w:sz w:val="22"/>
              </w:rPr>
            </w:pPr>
            <w:r>
              <w:rPr>
                <w:rFonts w:cs="Calibri"/>
                <w:color w:val="000000"/>
                <w:sz w:val="22"/>
              </w:rPr>
              <w:t>0.59</w:t>
            </w:r>
          </w:p>
        </w:tc>
      </w:tr>
      <w:tr w:rsidR="0092447A" w:rsidRPr="00A06430" w14:paraId="2F489045" w14:textId="77777777" w:rsidTr="00CA386D">
        <w:trPr>
          <w:trHeight w:val="16"/>
          <w:tblHeader/>
        </w:trPr>
        <w:tc>
          <w:tcPr>
            <w:tcW w:w="709" w:type="dxa"/>
            <w:vAlign w:val="center"/>
          </w:tcPr>
          <w:p w14:paraId="47625861" w14:textId="77777777" w:rsidR="0092447A" w:rsidRPr="00A06430" w:rsidRDefault="0092447A" w:rsidP="0092447A">
            <w:pPr>
              <w:widowControl w:val="0"/>
              <w:spacing w:before="4"/>
              <w:ind w:left="14"/>
              <w:jc w:val="center"/>
              <w:rPr>
                <w:rFonts w:eastAsia="Calibri" w:cs="David"/>
              </w:rPr>
            </w:pPr>
            <w:r w:rsidRPr="00A06430">
              <w:rPr>
                <w:rFonts w:eastAsia="Calibri" w:cs="David"/>
                <w:sz w:val="22"/>
              </w:rPr>
              <w:t>3</w:t>
            </w:r>
          </w:p>
        </w:tc>
        <w:tc>
          <w:tcPr>
            <w:tcW w:w="2552" w:type="dxa"/>
            <w:vAlign w:val="center"/>
          </w:tcPr>
          <w:p w14:paraId="22E5674B" w14:textId="77777777" w:rsidR="0092447A" w:rsidRPr="00A06430" w:rsidRDefault="0092447A" w:rsidP="0092447A">
            <w:pPr>
              <w:widowControl w:val="0"/>
              <w:ind w:left="390"/>
              <w:rPr>
                <w:rFonts w:eastAsia="Calibri" w:cs="David"/>
                <w:color w:val="000000"/>
              </w:rPr>
            </w:pPr>
            <w:r>
              <w:rPr>
                <w:rFonts w:eastAsia="Calibri" w:cs="David"/>
                <w:color w:val="000000"/>
                <w:sz w:val="22"/>
              </w:rPr>
              <w:t>R&amp;M Expenses</w:t>
            </w:r>
          </w:p>
        </w:tc>
        <w:tc>
          <w:tcPr>
            <w:tcW w:w="1701" w:type="dxa"/>
            <w:vAlign w:val="center"/>
          </w:tcPr>
          <w:p w14:paraId="55B86ADB" w14:textId="77777777" w:rsidR="0092447A" w:rsidRDefault="0092447A" w:rsidP="0092447A">
            <w:pPr>
              <w:spacing w:line="240" w:lineRule="auto"/>
              <w:jc w:val="center"/>
              <w:rPr>
                <w:rFonts w:cs="Calibri"/>
                <w:color w:val="000000"/>
                <w:sz w:val="22"/>
              </w:rPr>
            </w:pPr>
            <w:r>
              <w:rPr>
                <w:rFonts w:cs="Calibri"/>
                <w:color w:val="000000"/>
                <w:sz w:val="22"/>
              </w:rPr>
              <w:t>0.15</w:t>
            </w:r>
          </w:p>
        </w:tc>
        <w:tc>
          <w:tcPr>
            <w:tcW w:w="2126" w:type="dxa"/>
            <w:vAlign w:val="center"/>
          </w:tcPr>
          <w:p w14:paraId="1EE83FC2" w14:textId="77777777" w:rsidR="0092447A" w:rsidRDefault="0092447A" w:rsidP="0092447A">
            <w:pPr>
              <w:jc w:val="center"/>
              <w:rPr>
                <w:rFonts w:cs="Calibri"/>
                <w:color w:val="000000"/>
                <w:sz w:val="22"/>
              </w:rPr>
            </w:pPr>
            <w:r>
              <w:rPr>
                <w:rFonts w:cs="Calibri"/>
                <w:color w:val="000000"/>
                <w:sz w:val="22"/>
              </w:rPr>
              <w:t>1.05</w:t>
            </w:r>
          </w:p>
        </w:tc>
        <w:tc>
          <w:tcPr>
            <w:tcW w:w="1368" w:type="dxa"/>
            <w:vAlign w:val="bottom"/>
          </w:tcPr>
          <w:p w14:paraId="4EE2B40B" w14:textId="7D8D04DC" w:rsidR="0092447A" w:rsidRDefault="0092447A" w:rsidP="0092447A">
            <w:pPr>
              <w:jc w:val="center"/>
              <w:rPr>
                <w:rFonts w:cs="Calibri"/>
                <w:color w:val="000000"/>
                <w:sz w:val="22"/>
              </w:rPr>
            </w:pPr>
            <w:r>
              <w:rPr>
                <w:rFonts w:cs="Calibri"/>
                <w:color w:val="000000"/>
                <w:sz w:val="22"/>
              </w:rPr>
              <w:t>1.05</w:t>
            </w:r>
          </w:p>
        </w:tc>
        <w:tc>
          <w:tcPr>
            <w:tcW w:w="1417" w:type="dxa"/>
            <w:vAlign w:val="bottom"/>
          </w:tcPr>
          <w:p w14:paraId="6A21D72C" w14:textId="260073EB" w:rsidR="0092447A" w:rsidRDefault="0092447A" w:rsidP="0092447A">
            <w:pPr>
              <w:jc w:val="center"/>
              <w:rPr>
                <w:rFonts w:cs="Calibri"/>
                <w:color w:val="000000"/>
                <w:sz w:val="22"/>
              </w:rPr>
            </w:pPr>
            <w:r>
              <w:rPr>
                <w:rFonts w:cs="Calibri"/>
                <w:color w:val="000000"/>
                <w:sz w:val="22"/>
              </w:rPr>
              <w:t>1.09</w:t>
            </w:r>
          </w:p>
        </w:tc>
      </w:tr>
      <w:tr w:rsidR="0092447A" w:rsidRPr="00A06430" w14:paraId="3DF05411" w14:textId="77777777" w:rsidTr="00CA386D">
        <w:trPr>
          <w:trHeight w:val="16"/>
          <w:tblHeader/>
        </w:trPr>
        <w:tc>
          <w:tcPr>
            <w:tcW w:w="709" w:type="dxa"/>
            <w:vAlign w:val="center"/>
          </w:tcPr>
          <w:p w14:paraId="0DD38661" w14:textId="77777777" w:rsidR="0092447A" w:rsidRPr="00CF568D" w:rsidRDefault="0092447A" w:rsidP="0092447A">
            <w:pPr>
              <w:widowControl w:val="0"/>
              <w:spacing w:before="4"/>
              <w:ind w:left="14"/>
              <w:jc w:val="center"/>
              <w:rPr>
                <w:rFonts w:eastAsia="Calibri" w:cs="David"/>
                <w:b/>
                <w:sz w:val="22"/>
              </w:rPr>
            </w:pPr>
            <w:r w:rsidRPr="00CF568D">
              <w:rPr>
                <w:rFonts w:eastAsia="Calibri" w:cs="David"/>
                <w:b/>
                <w:sz w:val="22"/>
              </w:rPr>
              <w:t>4</w:t>
            </w:r>
          </w:p>
        </w:tc>
        <w:tc>
          <w:tcPr>
            <w:tcW w:w="2552" w:type="dxa"/>
            <w:vAlign w:val="center"/>
          </w:tcPr>
          <w:p w14:paraId="06D6EC84" w14:textId="77777777" w:rsidR="0092447A" w:rsidRPr="00CF568D" w:rsidRDefault="0092447A" w:rsidP="0092447A">
            <w:pPr>
              <w:widowControl w:val="0"/>
              <w:ind w:left="390"/>
              <w:rPr>
                <w:rFonts w:eastAsia="Calibri" w:cs="David"/>
                <w:b/>
                <w:color w:val="000000"/>
                <w:sz w:val="22"/>
              </w:rPr>
            </w:pPr>
            <w:r w:rsidRPr="00CF568D">
              <w:rPr>
                <w:rFonts w:eastAsia="Calibri" w:cs="David"/>
                <w:b/>
                <w:color w:val="000000"/>
                <w:sz w:val="22"/>
              </w:rPr>
              <w:t>Total</w:t>
            </w:r>
          </w:p>
        </w:tc>
        <w:tc>
          <w:tcPr>
            <w:tcW w:w="1701" w:type="dxa"/>
            <w:vAlign w:val="center"/>
          </w:tcPr>
          <w:p w14:paraId="7E3C3D0C" w14:textId="77777777" w:rsidR="0092447A" w:rsidRPr="005E277E" w:rsidRDefault="0092447A" w:rsidP="0092447A">
            <w:pPr>
              <w:jc w:val="center"/>
              <w:rPr>
                <w:rFonts w:cs="Calibri"/>
                <w:b/>
                <w:bCs/>
                <w:color w:val="000000"/>
                <w:sz w:val="22"/>
              </w:rPr>
            </w:pPr>
            <w:r w:rsidRPr="005E277E">
              <w:rPr>
                <w:rFonts w:cs="Calibri"/>
                <w:b/>
                <w:bCs/>
                <w:color w:val="000000"/>
                <w:sz w:val="22"/>
              </w:rPr>
              <w:t>2.97</w:t>
            </w:r>
          </w:p>
        </w:tc>
        <w:tc>
          <w:tcPr>
            <w:tcW w:w="2126" w:type="dxa"/>
            <w:vAlign w:val="center"/>
          </w:tcPr>
          <w:p w14:paraId="67FEDEEE" w14:textId="77777777" w:rsidR="0092447A" w:rsidRPr="005E277E" w:rsidRDefault="0092447A" w:rsidP="0092447A">
            <w:pPr>
              <w:jc w:val="center"/>
              <w:rPr>
                <w:rFonts w:cs="Calibri"/>
                <w:b/>
                <w:color w:val="000000"/>
                <w:sz w:val="22"/>
              </w:rPr>
            </w:pPr>
            <w:r w:rsidRPr="005E277E">
              <w:rPr>
                <w:rFonts w:cs="Calibri"/>
                <w:b/>
                <w:color w:val="000000"/>
                <w:sz w:val="22"/>
              </w:rPr>
              <w:t>5.25</w:t>
            </w:r>
          </w:p>
        </w:tc>
        <w:tc>
          <w:tcPr>
            <w:tcW w:w="1368" w:type="dxa"/>
            <w:vAlign w:val="bottom"/>
          </w:tcPr>
          <w:p w14:paraId="37BB4E1E" w14:textId="7A6BCBEB" w:rsidR="0092447A" w:rsidRPr="005E277E" w:rsidRDefault="0092447A" w:rsidP="0092447A">
            <w:pPr>
              <w:jc w:val="center"/>
              <w:rPr>
                <w:rFonts w:cs="Calibri"/>
                <w:b/>
                <w:color w:val="000000"/>
                <w:sz w:val="22"/>
              </w:rPr>
            </w:pPr>
            <w:r>
              <w:rPr>
                <w:rFonts w:cs="Calibri"/>
                <w:b/>
                <w:bCs/>
                <w:color w:val="000000"/>
                <w:sz w:val="22"/>
              </w:rPr>
              <w:t>8.46</w:t>
            </w:r>
          </w:p>
        </w:tc>
        <w:tc>
          <w:tcPr>
            <w:tcW w:w="1417" w:type="dxa"/>
            <w:vAlign w:val="bottom"/>
          </w:tcPr>
          <w:p w14:paraId="27B09FD4" w14:textId="147AF680" w:rsidR="0092447A" w:rsidRPr="005E277E" w:rsidRDefault="0092447A" w:rsidP="0092447A">
            <w:pPr>
              <w:jc w:val="center"/>
              <w:rPr>
                <w:rFonts w:cs="Calibri"/>
                <w:b/>
                <w:color w:val="000000"/>
                <w:sz w:val="22"/>
              </w:rPr>
            </w:pPr>
            <w:r>
              <w:rPr>
                <w:rFonts w:cs="Calibri"/>
                <w:b/>
                <w:bCs/>
                <w:color w:val="000000"/>
                <w:sz w:val="22"/>
              </w:rPr>
              <w:t>8.80</w:t>
            </w:r>
          </w:p>
        </w:tc>
      </w:tr>
    </w:tbl>
    <w:p w14:paraId="7698F4F0" w14:textId="77777777" w:rsidR="005C2772" w:rsidRPr="00CF568D" w:rsidRDefault="005C2772" w:rsidP="00CF568D"/>
    <w:p w14:paraId="64F99791" w14:textId="77777777" w:rsidR="00CF568D" w:rsidRDefault="00CF568D" w:rsidP="00CB42FA">
      <w:pPr>
        <w:pStyle w:val="Heading2"/>
        <w:ind w:left="0" w:firstLine="0"/>
      </w:pPr>
      <w:bookmarkStart w:id="26" w:name="_Toc498423463"/>
      <w:r>
        <w:t>Interest on Working Capital</w:t>
      </w:r>
      <w:bookmarkEnd w:id="26"/>
    </w:p>
    <w:p w14:paraId="56388398" w14:textId="77777777" w:rsidR="00CF568D" w:rsidRDefault="00CF568D" w:rsidP="00CF568D"/>
    <w:p w14:paraId="511D49F7" w14:textId="77777777" w:rsidR="00CF568D" w:rsidRPr="005B1835" w:rsidRDefault="00CF568D" w:rsidP="00CF568D">
      <w:r w:rsidRPr="005B1835">
        <w:t xml:space="preserve">The Petitioner has arrived at the working capital requirement according to applicable norms for transmission function provided in the </w:t>
      </w:r>
      <w:proofErr w:type="spellStart"/>
      <w:r w:rsidRPr="005B1835">
        <w:t>BERC</w:t>
      </w:r>
      <w:proofErr w:type="spellEnd"/>
      <w:r w:rsidRPr="005B1835">
        <w:t xml:space="preserve"> (Terms and Conditions of Tariff) Regulations, 2007</w:t>
      </w:r>
      <w:r w:rsidR="00067831">
        <w:t xml:space="preserve"> amended from time to time</w:t>
      </w:r>
      <w:r w:rsidRPr="005B1835">
        <w:t xml:space="preserve"> are reproduced in the following table for reference:</w:t>
      </w:r>
    </w:p>
    <w:p w14:paraId="6BAB6A36" w14:textId="77777777" w:rsidR="00CF568D" w:rsidRDefault="00CF568D" w:rsidP="00CF568D">
      <w:pPr>
        <w:widowControl w:val="0"/>
        <w:tabs>
          <w:tab w:val="left" w:pos="709"/>
        </w:tabs>
        <w:spacing w:before="4" w:line="276" w:lineRule="auto"/>
        <w:ind w:left="993" w:right="216"/>
        <w:rPr>
          <w:rFonts w:cs="David"/>
          <w:lang w:eastAsia="x-none"/>
        </w:rPr>
      </w:pPr>
    </w:p>
    <w:p w14:paraId="3C462D22" w14:textId="4C4F575A" w:rsidR="00CF568D" w:rsidRPr="00403F63" w:rsidRDefault="00CF568D" w:rsidP="00CF568D">
      <w:pPr>
        <w:widowControl w:val="0"/>
        <w:tabs>
          <w:tab w:val="left" w:pos="709"/>
        </w:tabs>
        <w:spacing w:before="4" w:line="276" w:lineRule="auto"/>
        <w:ind w:left="993" w:right="216"/>
        <w:jc w:val="center"/>
        <w:rPr>
          <w:rFonts w:cs="David"/>
          <w:b/>
          <w:bCs/>
          <w:lang w:eastAsia="x-none"/>
        </w:rPr>
      </w:pPr>
      <w:bookmarkStart w:id="27" w:name="_Toc468247734"/>
      <w:bookmarkStart w:id="28" w:name="_Toc498423477"/>
      <w:r w:rsidRPr="00D86B14">
        <w:rPr>
          <w:b/>
        </w:rPr>
        <w:t xml:space="preserve">Table </w:t>
      </w:r>
      <w:r w:rsidRPr="00D86B14">
        <w:rPr>
          <w:b/>
        </w:rPr>
        <w:fldChar w:fldCharType="begin"/>
      </w:r>
      <w:r w:rsidRPr="00D86B14">
        <w:rPr>
          <w:b/>
        </w:rPr>
        <w:instrText xml:space="preserve"> STYLEREF 1 \s </w:instrText>
      </w:r>
      <w:r w:rsidRPr="00D86B14">
        <w:rPr>
          <w:b/>
        </w:rPr>
        <w:fldChar w:fldCharType="separate"/>
      </w:r>
      <w:r w:rsidR="0045624D">
        <w:rPr>
          <w:b/>
          <w:noProof/>
        </w:rPr>
        <w:t>2</w:t>
      </w:r>
      <w:r w:rsidRPr="00D86B14">
        <w:rPr>
          <w:b/>
          <w:noProof/>
        </w:rPr>
        <w:fldChar w:fldCharType="end"/>
      </w:r>
      <w:r w:rsidRPr="00D86B14">
        <w:rPr>
          <w:b/>
        </w:rPr>
        <w:noBreakHyphen/>
      </w:r>
      <w:r w:rsidRPr="00D86B14">
        <w:rPr>
          <w:b/>
        </w:rPr>
        <w:fldChar w:fldCharType="begin"/>
      </w:r>
      <w:r w:rsidRPr="00D86B14">
        <w:rPr>
          <w:b/>
        </w:rPr>
        <w:instrText xml:space="preserve"> SEQ Table \* ARABIC \s 1 </w:instrText>
      </w:r>
      <w:r w:rsidRPr="00D86B14">
        <w:rPr>
          <w:b/>
        </w:rPr>
        <w:fldChar w:fldCharType="separate"/>
      </w:r>
      <w:r w:rsidR="0045624D">
        <w:rPr>
          <w:b/>
          <w:noProof/>
        </w:rPr>
        <w:t>8</w:t>
      </w:r>
      <w:r w:rsidRPr="00D86B14">
        <w:rPr>
          <w:b/>
          <w:noProof/>
        </w:rPr>
        <w:fldChar w:fldCharType="end"/>
      </w:r>
      <w:r w:rsidRPr="00D86B14">
        <w:rPr>
          <w:b/>
        </w:rPr>
        <w:t>:</w:t>
      </w:r>
      <w:r w:rsidRPr="005B1835">
        <w:rPr>
          <w:rFonts w:cs="David"/>
          <w:b/>
          <w:lang w:val="en-GB" w:eastAsia="x-none"/>
        </w:rPr>
        <w:t xml:space="preserve"> </w:t>
      </w:r>
      <w:r w:rsidRPr="005B1835">
        <w:rPr>
          <w:rFonts w:cs="David"/>
          <w:b/>
          <w:bCs/>
          <w:lang w:eastAsia="x-none"/>
        </w:rPr>
        <w:t>Norms for Working Capital Requirement</w:t>
      </w:r>
      <w:bookmarkStart w:id="29" w:name="_bookmark75"/>
      <w:bookmarkEnd w:id="27"/>
      <w:bookmarkEnd w:id="28"/>
      <w:bookmarkEnd w:id="29"/>
    </w:p>
    <w:tbl>
      <w:tblPr>
        <w:tblW w:w="8277"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85"/>
        <w:gridCol w:w="3171"/>
        <w:gridCol w:w="4321"/>
      </w:tblGrid>
      <w:tr w:rsidR="00CF568D" w:rsidRPr="00403F63" w14:paraId="25A9378A" w14:textId="77777777" w:rsidTr="00F46BE1">
        <w:trPr>
          <w:trHeight w:hRule="exact" w:val="602"/>
        </w:trPr>
        <w:tc>
          <w:tcPr>
            <w:tcW w:w="785" w:type="dxa"/>
            <w:shd w:val="clear" w:color="auto" w:fill="FABF8F" w:themeFill="accent6" w:themeFillTint="99"/>
            <w:vAlign w:val="center"/>
          </w:tcPr>
          <w:p w14:paraId="6B3E5587" w14:textId="77777777" w:rsidR="00CF568D" w:rsidRPr="00403F63" w:rsidRDefault="00CF568D" w:rsidP="00632986">
            <w:pPr>
              <w:widowControl w:val="0"/>
              <w:spacing w:line="265" w:lineRule="exact"/>
              <w:ind w:right="1"/>
              <w:jc w:val="center"/>
              <w:rPr>
                <w:rFonts w:eastAsia="Calibri" w:cs="David"/>
              </w:rPr>
            </w:pPr>
            <w:r w:rsidRPr="00403F63">
              <w:rPr>
                <w:rFonts w:eastAsia="Calibri" w:cs="David"/>
                <w:b/>
                <w:spacing w:val="-1"/>
                <w:sz w:val="22"/>
              </w:rPr>
              <w:t>Sr. No.</w:t>
            </w:r>
          </w:p>
        </w:tc>
        <w:tc>
          <w:tcPr>
            <w:tcW w:w="3171" w:type="dxa"/>
            <w:shd w:val="clear" w:color="auto" w:fill="FABF8F" w:themeFill="accent6" w:themeFillTint="99"/>
            <w:vAlign w:val="center"/>
          </w:tcPr>
          <w:p w14:paraId="516416A0" w14:textId="77777777" w:rsidR="00CF568D" w:rsidRPr="00403F63" w:rsidRDefault="00CF568D" w:rsidP="00632986">
            <w:pPr>
              <w:widowControl w:val="0"/>
              <w:spacing w:line="265" w:lineRule="exact"/>
              <w:ind w:left="97"/>
              <w:jc w:val="center"/>
              <w:rPr>
                <w:rFonts w:eastAsia="Calibri" w:cs="David"/>
              </w:rPr>
            </w:pPr>
            <w:r w:rsidRPr="00403F63">
              <w:rPr>
                <w:rFonts w:eastAsia="Calibri" w:cs="David"/>
                <w:b/>
                <w:spacing w:val="-1"/>
                <w:sz w:val="22"/>
              </w:rPr>
              <w:t>Particulars</w:t>
            </w:r>
          </w:p>
        </w:tc>
        <w:tc>
          <w:tcPr>
            <w:tcW w:w="4321" w:type="dxa"/>
            <w:shd w:val="clear" w:color="auto" w:fill="FABF8F" w:themeFill="accent6" w:themeFillTint="99"/>
            <w:vAlign w:val="center"/>
          </w:tcPr>
          <w:p w14:paraId="07C4D843" w14:textId="77777777" w:rsidR="00CF568D" w:rsidRPr="00403F63" w:rsidRDefault="00CF568D" w:rsidP="00632986">
            <w:pPr>
              <w:widowControl w:val="0"/>
              <w:spacing w:line="265" w:lineRule="exact"/>
              <w:ind w:left="97"/>
              <w:jc w:val="center"/>
              <w:rPr>
                <w:rFonts w:eastAsia="Calibri" w:cs="David"/>
              </w:rPr>
            </w:pPr>
            <w:r w:rsidRPr="00403F63">
              <w:rPr>
                <w:rFonts w:eastAsia="Calibri" w:cs="David"/>
                <w:b/>
                <w:spacing w:val="-1"/>
                <w:sz w:val="22"/>
              </w:rPr>
              <w:t>Norms</w:t>
            </w:r>
          </w:p>
        </w:tc>
      </w:tr>
      <w:tr w:rsidR="00CF568D" w:rsidRPr="00403F63" w14:paraId="4733AEE3" w14:textId="77777777" w:rsidTr="00DE6DDA">
        <w:trPr>
          <w:trHeight w:hRule="exact" w:val="777"/>
        </w:trPr>
        <w:tc>
          <w:tcPr>
            <w:tcW w:w="785" w:type="dxa"/>
            <w:shd w:val="clear" w:color="auto" w:fill="auto"/>
            <w:vAlign w:val="center"/>
          </w:tcPr>
          <w:p w14:paraId="67C4819F" w14:textId="77777777" w:rsidR="00CF568D" w:rsidRPr="00403F63" w:rsidRDefault="00CF568D" w:rsidP="00632986">
            <w:pPr>
              <w:widowControl w:val="0"/>
              <w:spacing w:line="264" w:lineRule="exact"/>
              <w:ind w:left="200"/>
              <w:jc w:val="center"/>
              <w:rPr>
                <w:rFonts w:eastAsia="Calibri" w:cs="David"/>
              </w:rPr>
            </w:pPr>
            <w:r w:rsidRPr="00403F63">
              <w:rPr>
                <w:rFonts w:eastAsia="Calibri" w:cs="David"/>
                <w:b/>
                <w:sz w:val="22"/>
              </w:rPr>
              <w:t>1.</w:t>
            </w:r>
          </w:p>
        </w:tc>
        <w:tc>
          <w:tcPr>
            <w:tcW w:w="3171" w:type="dxa"/>
            <w:shd w:val="clear" w:color="auto" w:fill="auto"/>
            <w:vAlign w:val="center"/>
          </w:tcPr>
          <w:p w14:paraId="78AD9E74" w14:textId="77777777" w:rsidR="00CF568D" w:rsidRPr="00403F63" w:rsidRDefault="00CF568D" w:rsidP="00DE6DDA">
            <w:pPr>
              <w:widowControl w:val="0"/>
              <w:spacing w:line="264" w:lineRule="exact"/>
              <w:ind w:left="97" w:right="180"/>
              <w:rPr>
                <w:rFonts w:eastAsia="Calibri" w:cs="David"/>
              </w:rPr>
            </w:pPr>
            <w:r w:rsidRPr="00403F63">
              <w:rPr>
                <w:rFonts w:eastAsia="Calibri" w:cs="David"/>
                <w:spacing w:val="-1"/>
                <w:sz w:val="22"/>
              </w:rPr>
              <w:t xml:space="preserve">Operation </w:t>
            </w:r>
            <w:r w:rsidRPr="00403F63">
              <w:rPr>
                <w:rFonts w:eastAsia="Calibri" w:cs="David"/>
                <w:sz w:val="22"/>
              </w:rPr>
              <w:t xml:space="preserve">&amp; </w:t>
            </w:r>
            <w:r w:rsidRPr="00403F63">
              <w:rPr>
                <w:rFonts w:eastAsia="Calibri" w:cs="David"/>
                <w:spacing w:val="-1"/>
                <w:sz w:val="22"/>
              </w:rPr>
              <w:t>Maintenance Expenses</w:t>
            </w:r>
          </w:p>
        </w:tc>
        <w:tc>
          <w:tcPr>
            <w:tcW w:w="4321" w:type="dxa"/>
            <w:shd w:val="clear" w:color="auto" w:fill="auto"/>
            <w:vAlign w:val="center"/>
          </w:tcPr>
          <w:p w14:paraId="37A4C559" w14:textId="77777777" w:rsidR="00CF568D" w:rsidRPr="00403F63" w:rsidRDefault="00CF568D" w:rsidP="00632986">
            <w:pPr>
              <w:widowControl w:val="0"/>
              <w:spacing w:line="264" w:lineRule="exact"/>
              <w:ind w:left="97"/>
              <w:jc w:val="left"/>
              <w:rPr>
                <w:rFonts w:eastAsia="Calibri" w:cs="David"/>
              </w:rPr>
            </w:pPr>
            <w:r w:rsidRPr="00403F63">
              <w:rPr>
                <w:rFonts w:eastAsia="Calibri" w:cs="David"/>
                <w:spacing w:val="-1"/>
                <w:sz w:val="22"/>
              </w:rPr>
              <w:t xml:space="preserve">One </w:t>
            </w:r>
            <w:r w:rsidRPr="00403F63">
              <w:rPr>
                <w:rFonts w:eastAsia="Calibri" w:cs="David"/>
                <w:sz w:val="22"/>
              </w:rPr>
              <w:t>month</w:t>
            </w:r>
          </w:p>
        </w:tc>
      </w:tr>
      <w:tr w:rsidR="00CF568D" w:rsidRPr="00403F63" w14:paraId="1E807196" w14:textId="77777777" w:rsidTr="00DE6DDA">
        <w:trPr>
          <w:trHeight w:hRule="exact" w:val="638"/>
        </w:trPr>
        <w:tc>
          <w:tcPr>
            <w:tcW w:w="785" w:type="dxa"/>
            <w:shd w:val="clear" w:color="auto" w:fill="auto"/>
            <w:vAlign w:val="center"/>
          </w:tcPr>
          <w:p w14:paraId="24C92637" w14:textId="77777777" w:rsidR="00CF568D" w:rsidRPr="00403F63" w:rsidRDefault="00CF568D" w:rsidP="00632986">
            <w:pPr>
              <w:widowControl w:val="0"/>
              <w:spacing w:before="152"/>
              <w:ind w:left="200"/>
              <w:jc w:val="center"/>
              <w:rPr>
                <w:rFonts w:eastAsia="Calibri" w:cs="David"/>
              </w:rPr>
            </w:pPr>
            <w:r w:rsidRPr="00403F63">
              <w:rPr>
                <w:rFonts w:eastAsia="Calibri" w:cs="David"/>
                <w:b/>
                <w:sz w:val="22"/>
              </w:rPr>
              <w:t>2.</w:t>
            </w:r>
          </w:p>
        </w:tc>
        <w:tc>
          <w:tcPr>
            <w:tcW w:w="3171" w:type="dxa"/>
            <w:shd w:val="clear" w:color="auto" w:fill="auto"/>
            <w:vAlign w:val="center"/>
          </w:tcPr>
          <w:p w14:paraId="53CBC719" w14:textId="77777777" w:rsidR="00CF568D" w:rsidRPr="00403F63" w:rsidRDefault="00CF568D" w:rsidP="00632986">
            <w:pPr>
              <w:widowControl w:val="0"/>
              <w:spacing w:before="152"/>
              <w:ind w:left="97"/>
              <w:rPr>
                <w:rFonts w:eastAsia="Calibri" w:cs="David"/>
              </w:rPr>
            </w:pPr>
            <w:r w:rsidRPr="00403F63">
              <w:rPr>
                <w:rFonts w:eastAsia="Calibri" w:cs="David"/>
                <w:spacing w:val="-1"/>
                <w:sz w:val="22"/>
              </w:rPr>
              <w:t>Maintenance spares</w:t>
            </w:r>
          </w:p>
        </w:tc>
        <w:tc>
          <w:tcPr>
            <w:tcW w:w="4321" w:type="dxa"/>
            <w:shd w:val="clear" w:color="auto" w:fill="auto"/>
            <w:vAlign w:val="center"/>
          </w:tcPr>
          <w:p w14:paraId="4BA1EFFC" w14:textId="77777777" w:rsidR="00CF568D" w:rsidRPr="00403F63" w:rsidRDefault="00CF568D" w:rsidP="00632986">
            <w:pPr>
              <w:widowControl w:val="0"/>
              <w:spacing w:line="276" w:lineRule="auto"/>
              <w:ind w:left="97" w:right="96"/>
              <w:jc w:val="left"/>
              <w:rPr>
                <w:rFonts w:eastAsia="Calibri" w:cs="David"/>
              </w:rPr>
            </w:pPr>
            <w:r w:rsidRPr="00403F63">
              <w:rPr>
                <w:rFonts w:eastAsia="Calibri" w:cs="David"/>
                <w:sz w:val="22"/>
              </w:rPr>
              <w:t xml:space="preserve">@1% of the </w:t>
            </w:r>
            <w:r w:rsidRPr="00403F63">
              <w:rPr>
                <w:rFonts w:eastAsia="Calibri" w:cs="David"/>
                <w:spacing w:val="-1"/>
                <w:sz w:val="22"/>
              </w:rPr>
              <w:t xml:space="preserve">opening </w:t>
            </w:r>
            <w:proofErr w:type="spellStart"/>
            <w:r w:rsidRPr="00403F63">
              <w:rPr>
                <w:rFonts w:eastAsia="Calibri" w:cs="David"/>
                <w:spacing w:val="-1"/>
                <w:sz w:val="22"/>
              </w:rPr>
              <w:t>GFA</w:t>
            </w:r>
            <w:proofErr w:type="spellEnd"/>
            <w:r w:rsidRPr="00403F63">
              <w:rPr>
                <w:rFonts w:eastAsia="Calibri" w:cs="David"/>
                <w:spacing w:val="-1"/>
                <w:sz w:val="22"/>
              </w:rPr>
              <w:t xml:space="preserve"> with</w:t>
            </w:r>
            <w:r w:rsidRPr="00403F63">
              <w:rPr>
                <w:rFonts w:eastAsia="Calibri" w:cs="David"/>
                <w:sz w:val="22"/>
              </w:rPr>
              <w:t xml:space="preserve"> 6% escalation </w:t>
            </w:r>
            <w:r w:rsidRPr="00403F63">
              <w:rPr>
                <w:rFonts w:eastAsia="Calibri" w:cs="David"/>
                <w:spacing w:val="-1"/>
                <w:sz w:val="22"/>
              </w:rPr>
              <w:t>per annum</w:t>
            </w:r>
          </w:p>
        </w:tc>
      </w:tr>
      <w:tr w:rsidR="00CF568D" w:rsidRPr="00403F63" w14:paraId="24555A6E" w14:textId="77777777" w:rsidTr="00DE6DDA">
        <w:trPr>
          <w:trHeight w:hRule="exact" w:val="486"/>
        </w:trPr>
        <w:tc>
          <w:tcPr>
            <w:tcW w:w="785" w:type="dxa"/>
            <w:shd w:val="clear" w:color="auto" w:fill="auto"/>
            <w:vAlign w:val="center"/>
          </w:tcPr>
          <w:p w14:paraId="40925591" w14:textId="77777777" w:rsidR="00CF568D" w:rsidRPr="00403F63" w:rsidRDefault="00CF568D" w:rsidP="00632986">
            <w:pPr>
              <w:widowControl w:val="0"/>
              <w:spacing w:line="264" w:lineRule="exact"/>
              <w:ind w:left="200"/>
              <w:jc w:val="center"/>
              <w:rPr>
                <w:rFonts w:eastAsia="Calibri" w:cs="David"/>
              </w:rPr>
            </w:pPr>
            <w:r w:rsidRPr="00403F63">
              <w:rPr>
                <w:rFonts w:eastAsia="Calibri" w:cs="David"/>
                <w:b/>
                <w:sz w:val="22"/>
              </w:rPr>
              <w:t>3.</w:t>
            </w:r>
          </w:p>
        </w:tc>
        <w:tc>
          <w:tcPr>
            <w:tcW w:w="3171" w:type="dxa"/>
            <w:shd w:val="clear" w:color="auto" w:fill="auto"/>
            <w:vAlign w:val="center"/>
          </w:tcPr>
          <w:p w14:paraId="48E97FDB" w14:textId="77777777" w:rsidR="00CF568D" w:rsidRPr="00403F63" w:rsidRDefault="00CF568D" w:rsidP="00632986">
            <w:pPr>
              <w:widowControl w:val="0"/>
              <w:spacing w:line="264" w:lineRule="exact"/>
              <w:ind w:left="97"/>
              <w:rPr>
                <w:rFonts w:eastAsia="Calibri" w:cs="David"/>
              </w:rPr>
            </w:pPr>
            <w:r w:rsidRPr="00403F63">
              <w:rPr>
                <w:rFonts w:eastAsia="Calibri" w:cs="David"/>
                <w:spacing w:val="-1"/>
                <w:sz w:val="22"/>
              </w:rPr>
              <w:t>Receivables</w:t>
            </w:r>
          </w:p>
        </w:tc>
        <w:tc>
          <w:tcPr>
            <w:tcW w:w="4321" w:type="dxa"/>
            <w:shd w:val="clear" w:color="auto" w:fill="auto"/>
            <w:vAlign w:val="center"/>
          </w:tcPr>
          <w:p w14:paraId="40DAC8C7" w14:textId="77777777" w:rsidR="00CF568D" w:rsidRPr="00403F63" w:rsidRDefault="00CF568D" w:rsidP="00632986">
            <w:pPr>
              <w:widowControl w:val="0"/>
              <w:spacing w:line="264" w:lineRule="exact"/>
              <w:ind w:left="97"/>
              <w:jc w:val="left"/>
              <w:rPr>
                <w:rFonts w:eastAsia="Calibri" w:cs="David"/>
              </w:rPr>
            </w:pPr>
            <w:r w:rsidRPr="00403F63">
              <w:rPr>
                <w:rFonts w:eastAsia="Calibri" w:cs="David"/>
                <w:spacing w:val="-1"/>
                <w:sz w:val="22"/>
              </w:rPr>
              <w:t xml:space="preserve">Two months </w:t>
            </w:r>
            <w:r w:rsidRPr="00403F63">
              <w:rPr>
                <w:rFonts w:eastAsia="Calibri" w:cs="David"/>
                <w:sz w:val="22"/>
              </w:rPr>
              <w:t xml:space="preserve">of </w:t>
            </w:r>
            <w:r w:rsidRPr="00403F63">
              <w:rPr>
                <w:rFonts w:eastAsia="Calibri" w:cs="David"/>
                <w:spacing w:val="-1"/>
                <w:sz w:val="22"/>
              </w:rPr>
              <w:t>transmission charges</w:t>
            </w:r>
          </w:p>
        </w:tc>
      </w:tr>
      <w:tr w:rsidR="00CF568D" w:rsidRPr="00403F63" w14:paraId="10E13766" w14:textId="77777777" w:rsidTr="00DE6DDA">
        <w:trPr>
          <w:trHeight w:hRule="exact" w:val="995"/>
        </w:trPr>
        <w:tc>
          <w:tcPr>
            <w:tcW w:w="785" w:type="dxa"/>
            <w:shd w:val="clear" w:color="auto" w:fill="auto"/>
            <w:vAlign w:val="center"/>
          </w:tcPr>
          <w:p w14:paraId="797AE328" w14:textId="77777777" w:rsidR="00CF568D" w:rsidRPr="00403F63" w:rsidRDefault="00CF568D" w:rsidP="00632986">
            <w:pPr>
              <w:widowControl w:val="0"/>
              <w:spacing w:before="149"/>
              <w:ind w:left="200"/>
              <w:jc w:val="center"/>
              <w:rPr>
                <w:rFonts w:eastAsia="Calibri" w:cs="David"/>
              </w:rPr>
            </w:pPr>
            <w:r w:rsidRPr="00403F63">
              <w:rPr>
                <w:rFonts w:eastAsia="Calibri" w:cs="David"/>
                <w:b/>
                <w:sz w:val="22"/>
              </w:rPr>
              <w:t>4.</w:t>
            </w:r>
          </w:p>
        </w:tc>
        <w:tc>
          <w:tcPr>
            <w:tcW w:w="3171" w:type="dxa"/>
            <w:shd w:val="clear" w:color="auto" w:fill="auto"/>
            <w:vAlign w:val="center"/>
          </w:tcPr>
          <w:p w14:paraId="7A697462" w14:textId="77777777" w:rsidR="00CF568D" w:rsidRPr="00403F63" w:rsidRDefault="00CF568D" w:rsidP="005041A6">
            <w:pPr>
              <w:widowControl w:val="0"/>
              <w:spacing w:before="149"/>
              <w:ind w:left="97" w:right="180"/>
              <w:rPr>
                <w:rFonts w:eastAsia="Calibri" w:cs="David"/>
              </w:rPr>
            </w:pPr>
            <w:r w:rsidRPr="00403F63">
              <w:rPr>
                <w:rFonts w:eastAsia="Calibri" w:cs="David"/>
                <w:spacing w:val="-1"/>
                <w:sz w:val="22"/>
              </w:rPr>
              <w:t xml:space="preserve">Rate </w:t>
            </w:r>
            <w:r w:rsidRPr="00403F63">
              <w:rPr>
                <w:rFonts w:eastAsia="Calibri" w:cs="David"/>
                <w:sz w:val="22"/>
              </w:rPr>
              <w:t>of</w:t>
            </w:r>
            <w:r w:rsidRPr="00403F63">
              <w:rPr>
                <w:rFonts w:eastAsia="Calibri" w:cs="David"/>
                <w:spacing w:val="-1"/>
                <w:sz w:val="22"/>
              </w:rPr>
              <w:t xml:space="preserve"> interest</w:t>
            </w:r>
            <w:r w:rsidRPr="00403F63">
              <w:rPr>
                <w:rFonts w:eastAsia="Calibri" w:cs="David"/>
                <w:sz w:val="22"/>
              </w:rPr>
              <w:t xml:space="preserve"> on </w:t>
            </w:r>
            <w:r w:rsidRPr="00403F63">
              <w:rPr>
                <w:rFonts w:eastAsia="Calibri" w:cs="David"/>
                <w:spacing w:val="-1"/>
                <w:sz w:val="22"/>
              </w:rPr>
              <w:t>working capital</w:t>
            </w:r>
          </w:p>
        </w:tc>
        <w:tc>
          <w:tcPr>
            <w:tcW w:w="4321" w:type="dxa"/>
            <w:shd w:val="clear" w:color="auto" w:fill="auto"/>
            <w:vAlign w:val="center"/>
          </w:tcPr>
          <w:p w14:paraId="3AA2C15F" w14:textId="77777777" w:rsidR="00CF568D" w:rsidRPr="00403F63" w:rsidRDefault="00CF568D" w:rsidP="00632986">
            <w:pPr>
              <w:widowControl w:val="0"/>
              <w:spacing w:line="255" w:lineRule="auto"/>
              <w:ind w:left="97" w:right="96"/>
              <w:jc w:val="left"/>
              <w:rPr>
                <w:rFonts w:eastAsia="Calibri" w:cs="David"/>
              </w:rPr>
            </w:pPr>
            <w:r w:rsidRPr="00403F63">
              <w:rPr>
                <w:rFonts w:eastAsia="Calibri" w:cs="David"/>
                <w:spacing w:val="-1"/>
                <w:sz w:val="22"/>
              </w:rPr>
              <w:t xml:space="preserve">Base </w:t>
            </w:r>
            <w:r w:rsidRPr="00403F63">
              <w:rPr>
                <w:rFonts w:eastAsia="Calibri" w:cs="David"/>
                <w:sz w:val="22"/>
              </w:rPr>
              <w:t>Rate of</w:t>
            </w:r>
            <w:r w:rsidRPr="00403F63">
              <w:rPr>
                <w:rFonts w:eastAsia="Calibri" w:cs="David"/>
                <w:spacing w:val="-1"/>
                <w:sz w:val="22"/>
              </w:rPr>
              <w:t xml:space="preserve"> State Bank </w:t>
            </w:r>
            <w:r w:rsidRPr="00403F63">
              <w:rPr>
                <w:rFonts w:eastAsia="Calibri" w:cs="David"/>
                <w:sz w:val="22"/>
              </w:rPr>
              <w:t>of</w:t>
            </w:r>
            <w:r w:rsidR="004762D8">
              <w:rPr>
                <w:rFonts w:eastAsia="Calibri" w:cs="David"/>
                <w:spacing w:val="-1"/>
                <w:sz w:val="22"/>
              </w:rPr>
              <w:t xml:space="preserve"> India +350 </w:t>
            </w:r>
            <w:r w:rsidR="001C5E68">
              <w:rPr>
                <w:rFonts w:eastAsia="Calibri" w:cs="David"/>
                <w:spacing w:val="-1"/>
                <w:sz w:val="22"/>
              </w:rPr>
              <w:t xml:space="preserve">basis </w:t>
            </w:r>
            <w:r w:rsidR="004762D8">
              <w:rPr>
                <w:rFonts w:eastAsia="Calibri" w:cs="David"/>
                <w:spacing w:val="-1"/>
                <w:sz w:val="22"/>
              </w:rPr>
              <w:t>points</w:t>
            </w:r>
          </w:p>
        </w:tc>
      </w:tr>
    </w:tbl>
    <w:p w14:paraId="2B170E63" w14:textId="77777777" w:rsidR="00CF568D" w:rsidRDefault="00CF568D" w:rsidP="00CF568D">
      <w:pPr>
        <w:spacing w:before="12"/>
        <w:rPr>
          <w:rFonts w:eastAsia="Calibri" w:cs="Calibri"/>
          <w:b/>
          <w:bCs/>
        </w:rPr>
      </w:pPr>
    </w:p>
    <w:p w14:paraId="4214B072" w14:textId="77777777" w:rsidR="006C0256" w:rsidRDefault="006C0256" w:rsidP="00CF568D">
      <w:pPr>
        <w:spacing w:before="12"/>
        <w:rPr>
          <w:rFonts w:eastAsia="Calibri" w:cs="Calibri"/>
          <w:b/>
          <w:bCs/>
        </w:rPr>
      </w:pPr>
    </w:p>
    <w:p w14:paraId="0C29CB1B" w14:textId="77777777" w:rsidR="006C0256" w:rsidRPr="005B1835" w:rsidRDefault="006C0256" w:rsidP="00CF568D">
      <w:pPr>
        <w:spacing w:before="12"/>
        <w:rPr>
          <w:rFonts w:eastAsia="Calibri" w:cs="Calibri"/>
          <w:b/>
          <w:bCs/>
        </w:rPr>
      </w:pPr>
    </w:p>
    <w:p w14:paraId="2E8FA6A3" w14:textId="77777777" w:rsidR="00CF568D" w:rsidRPr="005B1835" w:rsidRDefault="00CF568D" w:rsidP="00CF568D">
      <w:pPr>
        <w:widowControl w:val="0"/>
        <w:tabs>
          <w:tab w:val="left" w:pos="981"/>
        </w:tabs>
        <w:spacing w:before="4" w:line="276" w:lineRule="auto"/>
        <w:ind w:left="720" w:right="216"/>
        <w:rPr>
          <w:color w:val="FF0000"/>
          <w:lang w:eastAsia="x-none"/>
        </w:rPr>
      </w:pPr>
    </w:p>
    <w:p w14:paraId="57F8774E" w14:textId="77777777" w:rsidR="0022223E" w:rsidRDefault="00CF568D" w:rsidP="00CF568D">
      <w:r w:rsidRPr="005B1835">
        <w:lastRenderedPageBreak/>
        <w:t>The rate of interest applied on the proposed worki</w:t>
      </w:r>
      <w:r>
        <w:t xml:space="preserve">ng capital </w:t>
      </w:r>
      <w:r w:rsidR="00681FAC">
        <w:t xml:space="preserve">for FY 2017-18 </w:t>
      </w:r>
      <w:r>
        <w:t xml:space="preserve">is as per the </w:t>
      </w:r>
      <w:proofErr w:type="spellStart"/>
      <w:r>
        <w:t>SBI</w:t>
      </w:r>
      <w:proofErr w:type="spellEnd"/>
      <w:r>
        <w:t xml:space="preserve"> Base plus 350 basis points </w:t>
      </w:r>
      <w:proofErr w:type="gramStart"/>
      <w:r>
        <w:t>12.80</w:t>
      </w:r>
      <w:r w:rsidRPr="005B1835">
        <w:t>%</w:t>
      </w:r>
      <w:proofErr w:type="gramEnd"/>
      <w:r w:rsidR="0022223E">
        <w:t xml:space="preserve">(9.3%+3.50%). For FY 2018-19 rate of interest on working capital based on latest </w:t>
      </w:r>
      <w:proofErr w:type="spellStart"/>
      <w:r w:rsidR="0022223E">
        <w:t>SBI</w:t>
      </w:r>
      <w:proofErr w:type="spellEnd"/>
      <w:r w:rsidR="0022223E">
        <w:t xml:space="preserve"> bank rate as on 1.10.2017 is </w:t>
      </w:r>
      <w:proofErr w:type="gramStart"/>
      <w:r w:rsidR="0022223E">
        <w:t>12.45%</w:t>
      </w:r>
      <w:proofErr w:type="gramEnd"/>
      <w:r w:rsidR="0022223E">
        <w:t>(8.95%+3.5%).</w:t>
      </w:r>
    </w:p>
    <w:p w14:paraId="7205DF19" w14:textId="77777777" w:rsidR="00CF568D" w:rsidRPr="005B1835" w:rsidRDefault="00CF568D" w:rsidP="00CF568D"/>
    <w:p w14:paraId="664CB445" w14:textId="77777777" w:rsidR="00CF568D" w:rsidRPr="005B1835" w:rsidRDefault="00CF568D" w:rsidP="00CF568D">
      <w:r w:rsidRPr="005B1835">
        <w:t xml:space="preserve">The proposed interest </w:t>
      </w:r>
      <w:r>
        <w:t>on working capital for</w:t>
      </w:r>
      <w:r w:rsidR="00A55B72">
        <w:t xml:space="preserve"> FY 2017-18 and</w:t>
      </w:r>
      <w:r>
        <w:t xml:space="preserve"> </w:t>
      </w:r>
      <w:r w:rsidRPr="005B1835">
        <w:t xml:space="preserve">FY </w:t>
      </w:r>
      <w:r w:rsidR="001C5E68">
        <w:t>2018-19</w:t>
      </w:r>
      <w:r w:rsidRPr="005B1835">
        <w:t xml:space="preserve"> is computed based on the above norms is given in the following table.</w:t>
      </w:r>
    </w:p>
    <w:p w14:paraId="754CF94A" w14:textId="77777777" w:rsidR="005C2772" w:rsidRDefault="005C2772" w:rsidP="00CF568D"/>
    <w:p w14:paraId="25048F16" w14:textId="1AD70325" w:rsidR="0070142F" w:rsidRDefault="0070142F" w:rsidP="0070142F">
      <w:pPr>
        <w:pStyle w:val="Caption"/>
        <w:spacing w:after="240"/>
      </w:pPr>
      <w:bookmarkStart w:id="30" w:name="_Toc498423478"/>
      <w:r w:rsidRPr="00C66B01">
        <w:t xml:space="preserve">Table </w:t>
      </w:r>
      <w:fldSimple w:instr=" STYLEREF 1 \s ">
        <w:r w:rsidR="0045624D">
          <w:rPr>
            <w:noProof/>
          </w:rPr>
          <w:t>2</w:t>
        </w:r>
      </w:fldSimple>
      <w:r>
        <w:noBreakHyphen/>
      </w:r>
      <w:fldSimple w:instr=" SEQ Table \* ARABIC \s 1 ">
        <w:r w:rsidR="0045624D">
          <w:rPr>
            <w:noProof/>
          </w:rPr>
          <w:t>9</w:t>
        </w:r>
      </w:fldSimple>
      <w:r>
        <w:t>:</w:t>
      </w:r>
      <w:r w:rsidRPr="00C66B01">
        <w:t xml:space="preserve"> </w:t>
      </w:r>
      <w:r w:rsidR="00067831">
        <w:t>Revised Interest on Working Capital (</w:t>
      </w:r>
      <w:proofErr w:type="spellStart"/>
      <w:r w:rsidR="00067831">
        <w:t>IWC</w:t>
      </w:r>
      <w:proofErr w:type="spellEnd"/>
      <w:r w:rsidR="00067831">
        <w:t xml:space="preserve">) for FY 2017-18 and Projected </w:t>
      </w:r>
      <w:proofErr w:type="spellStart"/>
      <w:r w:rsidR="00067831">
        <w:t>IWC</w:t>
      </w:r>
      <w:proofErr w:type="spellEnd"/>
      <w:r w:rsidR="00067831">
        <w:t xml:space="preserve"> for FY 2018-19 </w:t>
      </w:r>
      <w:r>
        <w:t xml:space="preserve">(Rs. </w:t>
      </w:r>
      <w:proofErr w:type="spellStart"/>
      <w:r>
        <w:t>Crore</w:t>
      </w:r>
      <w:proofErr w:type="spellEnd"/>
      <w:r>
        <w:t>)</w:t>
      </w:r>
      <w:bookmarkEnd w:id="30"/>
    </w:p>
    <w:tbl>
      <w:tblPr>
        <w:tblW w:w="5000" w:type="pct"/>
        <w:tblLook w:val="04A0" w:firstRow="1" w:lastRow="0" w:firstColumn="1" w:lastColumn="0" w:noHBand="0" w:noVBand="1"/>
      </w:tblPr>
      <w:tblGrid>
        <w:gridCol w:w="842"/>
        <w:gridCol w:w="2930"/>
        <w:gridCol w:w="1850"/>
        <w:gridCol w:w="1688"/>
        <w:gridCol w:w="1932"/>
      </w:tblGrid>
      <w:tr w:rsidR="001C5E68" w:rsidRPr="001C5E68" w14:paraId="1D03F8DF" w14:textId="77777777" w:rsidTr="00AB7FC8">
        <w:trPr>
          <w:trHeight w:val="330"/>
          <w:tblHeader/>
        </w:trPr>
        <w:tc>
          <w:tcPr>
            <w:tcW w:w="456" w:type="pct"/>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14:paraId="3AF1F491" w14:textId="77777777" w:rsidR="001C5E68" w:rsidRPr="001C5E68" w:rsidRDefault="001C5E68" w:rsidP="001C5E68">
            <w:pPr>
              <w:spacing w:line="240" w:lineRule="auto"/>
              <w:jc w:val="center"/>
              <w:rPr>
                <w:rFonts w:eastAsia="Times New Roman" w:cs="Calibri"/>
                <w:b/>
                <w:bCs/>
                <w:color w:val="000000"/>
                <w:sz w:val="22"/>
                <w:lang w:val="en-GB" w:eastAsia="en-GB"/>
              </w:rPr>
            </w:pPr>
            <w:r w:rsidRPr="001C5E68">
              <w:rPr>
                <w:rFonts w:eastAsia="Times New Roman" w:cs="Calibri"/>
                <w:b/>
                <w:bCs/>
                <w:color w:val="000000"/>
                <w:sz w:val="22"/>
                <w:lang w:val="en-GB" w:eastAsia="en-GB"/>
              </w:rPr>
              <w:t>Sl. No.</w:t>
            </w:r>
          </w:p>
        </w:tc>
        <w:tc>
          <w:tcPr>
            <w:tcW w:w="1585" w:type="pct"/>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14:paraId="6F4033A4" w14:textId="77777777" w:rsidR="001C5E68" w:rsidRPr="001C5E68" w:rsidRDefault="001C5E68" w:rsidP="001C5E68">
            <w:pPr>
              <w:spacing w:line="240" w:lineRule="auto"/>
              <w:jc w:val="center"/>
              <w:rPr>
                <w:rFonts w:eastAsia="Times New Roman" w:cs="Calibri"/>
                <w:b/>
                <w:bCs/>
                <w:color w:val="000000"/>
                <w:sz w:val="22"/>
                <w:lang w:val="en-GB" w:eastAsia="en-GB"/>
              </w:rPr>
            </w:pPr>
            <w:r w:rsidRPr="001C5E68">
              <w:rPr>
                <w:rFonts w:eastAsia="Times New Roman" w:cs="Calibri"/>
                <w:b/>
                <w:bCs/>
                <w:color w:val="000000"/>
                <w:sz w:val="22"/>
                <w:lang w:val="en-GB" w:eastAsia="en-GB"/>
              </w:rPr>
              <w:t>Particulars</w:t>
            </w:r>
          </w:p>
        </w:tc>
        <w:tc>
          <w:tcPr>
            <w:tcW w:w="1914" w:type="pct"/>
            <w:gridSpan w:val="2"/>
            <w:tcBorders>
              <w:top w:val="single" w:sz="4" w:space="0" w:color="auto"/>
              <w:left w:val="nil"/>
              <w:bottom w:val="single" w:sz="4" w:space="0" w:color="auto"/>
              <w:right w:val="single" w:sz="4" w:space="0" w:color="auto"/>
            </w:tcBorders>
            <w:shd w:val="clear" w:color="000000" w:fill="FABF8F"/>
            <w:noWrap/>
            <w:vAlign w:val="bottom"/>
            <w:hideMark/>
          </w:tcPr>
          <w:p w14:paraId="0D0A1A09" w14:textId="77777777" w:rsidR="001C5E68" w:rsidRPr="001C5E68" w:rsidRDefault="001C5E68" w:rsidP="001C5E68">
            <w:pPr>
              <w:spacing w:line="240" w:lineRule="auto"/>
              <w:jc w:val="center"/>
              <w:rPr>
                <w:rFonts w:eastAsia="Times New Roman" w:cs="Calibri"/>
                <w:b/>
                <w:bCs/>
                <w:color w:val="000000"/>
                <w:sz w:val="22"/>
                <w:lang w:val="en-GB" w:eastAsia="en-GB"/>
              </w:rPr>
            </w:pPr>
            <w:r w:rsidRPr="001C5E68">
              <w:rPr>
                <w:rFonts w:eastAsia="Times New Roman" w:cs="Calibri"/>
                <w:b/>
                <w:bCs/>
                <w:color w:val="000000"/>
                <w:sz w:val="22"/>
                <w:lang w:val="en-GB" w:eastAsia="en-GB"/>
              </w:rPr>
              <w:t>FY 2017-18</w:t>
            </w:r>
          </w:p>
        </w:tc>
        <w:tc>
          <w:tcPr>
            <w:tcW w:w="1045" w:type="pct"/>
            <w:tcBorders>
              <w:top w:val="single" w:sz="4" w:space="0" w:color="auto"/>
              <w:left w:val="nil"/>
              <w:bottom w:val="single" w:sz="4" w:space="0" w:color="auto"/>
              <w:right w:val="single" w:sz="4" w:space="0" w:color="auto"/>
            </w:tcBorders>
            <w:shd w:val="clear" w:color="000000" w:fill="FABF8F"/>
            <w:noWrap/>
            <w:vAlign w:val="bottom"/>
            <w:hideMark/>
          </w:tcPr>
          <w:p w14:paraId="57957DB2" w14:textId="77777777" w:rsidR="001C5E68" w:rsidRPr="001C5E68" w:rsidRDefault="001C5E68" w:rsidP="001C5E68">
            <w:pPr>
              <w:spacing w:line="240" w:lineRule="auto"/>
              <w:jc w:val="left"/>
              <w:rPr>
                <w:rFonts w:eastAsia="Times New Roman" w:cs="Calibri"/>
                <w:b/>
                <w:bCs/>
                <w:color w:val="000000"/>
                <w:sz w:val="22"/>
                <w:lang w:val="en-GB" w:eastAsia="en-GB"/>
              </w:rPr>
            </w:pPr>
            <w:r w:rsidRPr="001C5E68">
              <w:rPr>
                <w:rFonts w:eastAsia="Times New Roman" w:cs="Calibri"/>
                <w:b/>
                <w:bCs/>
                <w:color w:val="000000"/>
                <w:sz w:val="22"/>
                <w:lang w:val="en-GB" w:eastAsia="en-GB"/>
              </w:rPr>
              <w:t>FY 2018-19</w:t>
            </w:r>
          </w:p>
        </w:tc>
      </w:tr>
      <w:tr w:rsidR="001C5E68" w:rsidRPr="001C5E68" w14:paraId="06F50F3B" w14:textId="77777777" w:rsidTr="00AB7FC8">
        <w:trPr>
          <w:trHeight w:val="600"/>
          <w:tblHeader/>
        </w:trPr>
        <w:tc>
          <w:tcPr>
            <w:tcW w:w="456" w:type="pct"/>
            <w:vMerge/>
            <w:tcBorders>
              <w:top w:val="single" w:sz="4" w:space="0" w:color="auto"/>
              <w:left w:val="single" w:sz="4" w:space="0" w:color="auto"/>
              <w:bottom w:val="single" w:sz="4" w:space="0" w:color="000000"/>
              <w:right w:val="single" w:sz="4" w:space="0" w:color="auto"/>
            </w:tcBorders>
            <w:vAlign w:val="center"/>
            <w:hideMark/>
          </w:tcPr>
          <w:p w14:paraId="3C6F495F" w14:textId="77777777" w:rsidR="001C5E68" w:rsidRPr="001C5E68" w:rsidRDefault="001C5E68" w:rsidP="001C5E68">
            <w:pPr>
              <w:spacing w:line="240" w:lineRule="auto"/>
              <w:jc w:val="left"/>
              <w:rPr>
                <w:rFonts w:eastAsia="Times New Roman" w:cs="Calibri"/>
                <w:b/>
                <w:bCs/>
                <w:color w:val="000000"/>
                <w:sz w:val="22"/>
                <w:lang w:val="en-GB" w:eastAsia="en-GB"/>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14:paraId="145E8A7F" w14:textId="77777777" w:rsidR="001C5E68" w:rsidRPr="001C5E68" w:rsidRDefault="001C5E68" w:rsidP="001C5E68">
            <w:pPr>
              <w:spacing w:line="240" w:lineRule="auto"/>
              <w:jc w:val="left"/>
              <w:rPr>
                <w:rFonts w:eastAsia="Times New Roman" w:cs="Calibri"/>
                <w:b/>
                <w:bCs/>
                <w:color w:val="000000"/>
                <w:sz w:val="22"/>
                <w:lang w:val="en-GB" w:eastAsia="en-GB"/>
              </w:rPr>
            </w:pPr>
          </w:p>
        </w:tc>
        <w:tc>
          <w:tcPr>
            <w:tcW w:w="1001" w:type="pct"/>
            <w:tcBorders>
              <w:top w:val="nil"/>
              <w:left w:val="nil"/>
              <w:bottom w:val="single" w:sz="4" w:space="0" w:color="auto"/>
              <w:right w:val="single" w:sz="4" w:space="0" w:color="auto"/>
            </w:tcBorders>
            <w:shd w:val="clear" w:color="000000" w:fill="FABF8F"/>
            <w:vAlign w:val="bottom"/>
            <w:hideMark/>
          </w:tcPr>
          <w:p w14:paraId="09F3DA78" w14:textId="77777777" w:rsidR="001C5E68" w:rsidRPr="001C5E68" w:rsidRDefault="001C5E68" w:rsidP="001C5E68">
            <w:pPr>
              <w:spacing w:line="240" w:lineRule="auto"/>
              <w:jc w:val="center"/>
              <w:rPr>
                <w:rFonts w:eastAsia="Times New Roman" w:cs="Calibri"/>
                <w:b/>
                <w:bCs/>
                <w:color w:val="000000"/>
                <w:sz w:val="22"/>
                <w:lang w:val="en-GB" w:eastAsia="en-GB"/>
              </w:rPr>
            </w:pPr>
            <w:r w:rsidRPr="001C5E68">
              <w:rPr>
                <w:rFonts w:eastAsia="Times New Roman" w:cs="Calibri"/>
                <w:b/>
                <w:bCs/>
                <w:color w:val="000000"/>
                <w:sz w:val="22"/>
                <w:lang w:val="en-GB" w:eastAsia="en-GB"/>
              </w:rPr>
              <w:t>Approved in Tariff Order dated 9 March, 2017</w:t>
            </w:r>
          </w:p>
        </w:tc>
        <w:tc>
          <w:tcPr>
            <w:tcW w:w="913" w:type="pct"/>
            <w:tcBorders>
              <w:top w:val="nil"/>
              <w:left w:val="nil"/>
              <w:bottom w:val="single" w:sz="4" w:space="0" w:color="auto"/>
              <w:right w:val="single" w:sz="4" w:space="0" w:color="auto"/>
            </w:tcBorders>
            <w:shd w:val="clear" w:color="000000" w:fill="FABF8F"/>
            <w:noWrap/>
            <w:vAlign w:val="center"/>
            <w:hideMark/>
          </w:tcPr>
          <w:p w14:paraId="6B10E723" w14:textId="77777777" w:rsidR="001C5E68" w:rsidRPr="001C5E68" w:rsidRDefault="00AB7FC8" w:rsidP="001C5E68">
            <w:pPr>
              <w:spacing w:line="240" w:lineRule="auto"/>
              <w:jc w:val="center"/>
              <w:rPr>
                <w:rFonts w:eastAsia="Times New Roman" w:cs="Calibri"/>
                <w:b/>
                <w:bCs/>
                <w:color w:val="000000"/>
                <w:sz w:val="22"/>
                <w:lang w:val="en-GB" w:eastAsia="en-GB"/>
              </w:rPr>
            </w:pPr>
            <w:r>
              <w:rPr>
                <w:rFonts w:eastAsia="Times New Roman" w:cs="Calibri"/>
                <w:b/>
                <w:bCs/>
                <w:color w:val="000000"/>
                <w:sz w:val="22"/>
                <w:lang w:val="en-GB" w:eastAsia="en-GB"/>
              </w:rPr>
              <w:t>Revised</w:t>
            </w:r>
          </w:p>
        </w:tc>
        <w:tc>
          <w:tcPr>
            <w:tcW w:w="1045" w:type="pct"/>
            <w:tcBorders>
              <w:top w:val="nil"/>
              <w:left w:val="nil"/>
              <w:bottom w:val="single" w:sz="4" w:space="0" w:color="auto"/>
              <w:right w:val="single" w:sz="4" w:space="0" w:color="auto"/>
            </w:tcBorders>
            <w:shd w:val="clear" w:color="000000" w:fill="FABF8F"/>
            <w:noWrap/>
            <w:vAlign w:val="center"/>
            <w:hideMark/>
          </w:tcPr>
          <w:p w14:paraId="028016BD" w14:textId="77777777" w:rsidR="001C5E68" w:rsidRPr="001C5E68" w:rsidRDefault="001C5E68" w:rsidP="001C5E68">
            <w:pPr>
              <w:spacing w:line="240" w:lineRule="auto"/>
              <w:jc w:val="center"/>
              <w:rPr>
                <w:rFonts w:eastAsia="Times New Roman" w:cs="Calibri"/>
                <w:b/>
                <w:bCs/>
                <w:color w:val="000000"/>
                <w:sz w:val="22"/>
                <w:lang w:val="en-GB" w:eastAsia="en-GB"/>
              </w:rPr>
            </w:pPr>
            <w:r w:rsidRPr="001C5E68">
              <w:rPr>
                <w:rFonts w:eastAsia="Times New Roman" w:cs="Calibri"/>
                <w:b/>
                <w:bCs/>
                <w:color w:val="000000"/>
                <w:sz w:val="22"/>
                <w:lang w:val="en-GB" w:eastAsia="en-GB"/>
              </w:rPr>
              <w:t>Estimate</w:t>
            </w:r>
          </w:p>
        </w:tc>
      </w:tr>
      <w:tr w:rsidR="005F1A60" w:rsidRPr="001C5E68" w14:paraId="7D92EB8D" w14:textId="77777777" w:rsidTr="00AB7FC8">
        <w:trPr>
          <w:trHeight w:val="330"/>
        </w:trPr>
        <w:tc>
          <w:tcPr>
            <w:tcW w:w="456" w:type="pct"/>
            <w:tcBorders>
              <w:top w:val="nil"/>
              <w:left w:val="single" w:sz="4" w:space="0" w:color="auto"/>
              <w:bottom w:val="single" w:sz="4" w:space="0" w:color="auto"/>
              <w:right w:val="single" w:sz="4" w:space="0" w:color="auto"/>
            </w:tcBorders>
            <w:shd w:val="clear" w:color="auto" w:fill="auto"/>
            <w:vAlign w:val="center"/>
            <w:hideMark/>
          </w:tcPr>
          <w:p w14:paraId="0255F141"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1</w:t>
            </w:r>
          </w:p>
        </w:tc>
        <w:tc>
          <w:tcPr>
            <w:tcW w:w="1585" w:type="pct"/>
            <w:tcBorders>
              <w:top w:val="nil"/>
              <w:left w:val="nil"/>
              <w:bottom w:val="single" w:sz="4" w:space="0" w:color="auto"/>
              <w:right w:val="single" w:sz="4" w:space="0" w:color="auto"/>
            </w:tcBorders>
            <w:shd w:val="clear" w:color="auto" w:fill="auto"/>
            <w:vAlign w:val="center"/>
            <w:hideMark/>
          </w:tcPr>
          <w:p w14:paraId="3614F22B" w14:textId="77777777" w:rsidR="005F1A60" w:rsidRPr="001C5E68" w:rsidRDefault="005F1A60" w:rsidP="005F1A60">
            <w:pPr>
              <w:spacing w:line="240" w:lineRule="auto"/>
              <w:jc w:val="left"/>
              <w:rPr>
                <w:rFonts w:eastAsia="Times New Roman" w:cs="Calibri"/>
                <w:color w:val="000000"/>
                <w:sz w:val="22"/>
                <w:lang w:val="en-GB" w:eastAsia="en-GB"/>
              </w:rPr>
            </w:pPr>
            <w:proofErr w:type="spellStart"/>
            <w:r w:rsidRPr="001C5E68">
              <w:rPr>
                <w:rFonts w:eastAsia="Times New Roman" w:cs="Calibri"/>
                <w:color w:val="000000"/>
                <w:sz w:val="22"/>
                <w:lang w:val="en-GB" w:eastAsia="en-GB"/>
              </w:rPr>
              <w:t>O&amp;M</w:t>
            </w:r>
            <w:proofErr w:type="spellEnd"/>
            <w:r w:rsidRPr="001C5E68">
              <w:rPr>
                <w:rFonts w:eastAsia="Times New Roman" w:cs="Calibri"/>
                <w:color w:val="000000"/>
                <w:sz w:val="22"/>
                <w:lang w:val="en-GB" w:eastAsia="en-GB"/>
              </w:rPr>
              <w:t xml:space="preserve"> Expenses for 1 Month</w:t>
            </w:r>
          </w:p>
        </w:tc>
        <w:tc>
          <w:tcPr>
            <w:tcW w:w="1001" w:type="pct"/>
            <w:tcBorders>
              <w:top w:val="nil"/>
              <w:left w:val="nil"/>
              <w:bottom w:val="single" w:sz="4" w:space="0" w:color="auto"/>
              <w:right w:val="single" w:sz="4" w:space="0" w:color="auto"/>
            </w:tcBorders>
            <w:shd w:val="clear" w:color="auto" w:fill="auto"/>
            <w:vAlign w:val="center"/>
            <w:hideMark/>
          </w:tcPr>
          <w:p w14:paraId="5C9B229B"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 </w:t>
            </w:r>
            <w:r>
              <w:rPr>
                <w:rFonts w:eastAsia="Times New Roman" w:cs="Calibri"/>
                <w:color w:val="000000"/>
                <w:sz w:val="22"/>
                <w:lang w:val="en-GB" w:eastAsia="en-GB"/>
              </w:rPr>
              <w:t>0.44</w:t>
            </w:r>
          </w:p>
        </w:tc>
        <w:tc>
          <w:tcPr>
            <w:tcW w:w="913" w:type="pct"/>
            <w:tcBorders>
              <w:top w:val="nil"/>
              <w:left w:val="nil"/>
              <w:bottom w:val="single" w:sz="4" w:space="0" w:color="auto"/>
              <w:right w:val="single" w:sz="4" w:space="0" w:color="auto"/>
            </w:tcBorders>
            <w:shd w:val="clear" w:color="auto" w:fill="auto"/>
            <w:vAlign w:val="center"/>
          </w:tcPr>
          <w:p w14:paraId="468B8D18" w14:textId="45A0680D" w:rsidR="005F1A60" w:rsidRDefault="005F1A60" w:rsidP="005F1A60">
            <w:pPr>
              <w:spacing w:line="240" w:lineRule="auto"/>
              <w:jc w:val="right"/>
              <w:rPr>
                <w:rFonts w:cs="Calibri"/>
                <w:color w:val="000000"/>
                <w:sz w:val="22"/>
              </w:rPr>
            </w:pPr>
            <w:r>
              <w:rPr>
                <w:rFonts w:cs="Calibri"/>
                <w:color w:val="000000"/>
                <w:sz w:val="22"/>
              </w:rPr>
              <w:t xml:space="preserve">                  0.70 </w:t>
            </w:r>
          </w:p>
        </w:tc>
        <w:tc>
          <w:tcPr>
            <w:tcW w:w="1045" w:type="pct"/>
            <w:tcBorders>
              <w:top w:val="nil"/>
              <w:left w:val="nil"/>
              <w:bottom w:val="single" w:sz="4" w:space="0" w:color="auto"/>
              <w:right w:val="single" w:sz="4" w:space="0" w:color="auto"/>
            </w:tcBorders>
            <w:shd w:val="clear" w:color="auto" w:fill="auto"/>
            <w:vAlign w:val="center"/>
          </w:tcPr>
          <w:p w14:paraId="72B0A410" w14:textId="35C48ABF" w:rsidR="005F1A60" w:rsidRDefault="005F1A60" w:rsidP="005F1A60">
            <w:pPr>
              <w:jc w:val="right"/>
              <w:rPr>
                <w:rFonts w:cs="Calibri"/>
                <w:color w:val="000000"/>
                <w:sz w:val="22"/>
              </w:rPr>
            </w:pPr>
            <w:r>
              <w:rPr>
                <w:rFonts w:cs="Calibri"/>
                <w:color w:val="000000"/>
                <w:sz w:val="22"/>
              </w:rPr>
              <w:t xml:space="preserve">            0.73 </w:t>
            </w:r>
          </w:p>
        </w:tc>
      </w:tr>
      <w:tr w:rsidR="005F1A60" w:rsidRPr="001C5E68" w14:paraId="3B2D3202" w14:textId="77777777" w:rsidTr="00AB7FC8">
        <w:trPr>
          <w:trHeight w:val="660"/>
        </w:trPr>
        <w:tc>
          <w:tcPr>
            <w:tcW w:w="456" w:type="pct"/>
            <w:tcBorders>
              <w:top w:val="nil"/>
              <w:left w:val="single" w:sz="4" w:space="0" w:color="auto"/>
              <w:bottom w:val="single" w:sz="4" w:space="0" w:color="auto"/>
              <w:right w:val="single" w:sz="4" w:space="0" w:color="auto"/>
            </w:tcBorders>
            <w:shd w:val="clear" w:color="auto" w:fill="auto"/>
            <w:vAlign w:val="center"/>
            <w:hideMark/>
          </w:tcPr>
          <w:p w14:paraId="0863763D"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2</w:t>
            </w:r>
          </w:p>
        </w:tc>
        <w:tc>
          <w:tcPr>
            <w:tcW w:w="1585" w:type="pct"/>
            <w:tcBorders>
              <w:top w:val="nil"/>
              <w:left w:val="nil"/>
              <w:bottom w:val="single" w:sz="4" w:space="0" w:color="auto"/>
              <w:right w:val="single" w:sz="4" w:space="0" w:color="auto"/>
            </w:tcBorders>
            <w:shd w:val="clear" w:color="auto" w:fill="auto"/>
            <w:vAlign w:val="center"/>
            <w:hideMark/>
          </w:tcPr>
          <w:p w14:paraId="6ABBB8EE" w14:textId="77777777" w:rsidR="005F1A60" w:rsidRPr="001C5E68" w:rsidRDefault="005F1A60" w:rsidP="005F1A60">
            <w:pPr>
              <w:spacing w:line="240" w:lineRule="auto"/>
              <w:jc w:val="left"/>
              <w:rPr>
                <w:rFonts w:eastAsia="Times New Roman" w:cs="Calibri"/>
                <w:color w:val="000000"/>
                <w:sz w:val="22"/>
                <w:lang w:val="en-GB" w:eastAsia="en-GB"/>
              </w:rPr>
            </w:pPr>
            <w:r w:rsidRPr="001C5E68">
              <w:rPr>
                <w:rFonts w:eastAsia="Times New Roman" w:cs="Calibri"/>
                <w:color w:val="000000"/>
                <w:sz w:val="22"/>
                <w:lang w:val="en-GB" w:eastAsia="en-GB"/>
              </w:rPr>
              <w:t xml:space="preserve">Maintenance Spares @1% of Opening </w:t>
            </w:r>
            <w:proofErr w:type="spellStart"/>
            <w:r w:rsidRPr="001C5E68">
              <w:rPr>
                <w:rFonts w:eastAsia="Times New Roman" w:cs="Calibri"/>
                <w:color w:val="000000"/>
                <w:sz w:val="22"/>
                <w:lang w:val="en-GB" w:eastAsia="en-GB"/>
              </w:rPr>
              <w:t>GFA</w:t>
            </w:r>
            <w:proofErr w:type="spellEnd"/>
            <w:r w:rsidRPr="001C5E68">
              <w:rPr>
                <w:rFonts w:eastAsia="Times New Roman" w:cs="Calibri"/>
                <w:color w:val="000000"/>
                <w:sz w:val="22"/>
                <w:lang w:val="en-GB" w:eastAsia="en-GB"/>
              </w:rPr>
              <w:t xml:space="preserve"> with 6% escalation</w:t>
            </w:r>
          </w:p>
        </w:tc>
        <w:tc>
          <w:tcPr>
            <w:tcW w:w="1001" w:type="pct"/>
            <w:tcBorders>
              <w:top w:val="nil"/>
              <w:left w:val="nil"/>
              <w:bottom w:val="single" w:sz="4" w:space="0" w:color="auto"/>
              <w:right w:val="single" w:sz="4" w:space="0" w:color="auto"/>
            </w:tcBorders>
            <w:shd w:val="clear" w:color="auto" w:fill="auto"/>
            <w:vAlign w:val="center"/>
            <w:hideMark/>
          </w:tcPr>
          <w:p w14:paraId="3EB27A32" w14:textId="77777777" w:rsidR="005F1A60" w:rsidRPr="001C5E68" w:rsidRDefault="005F1A60" w:rsidP="005F1A60">
            <w:pPr>
              <w:spacing w:line="240" w:lineRule="auto"/>
              <w:jc w:val="center"/>
              <w:rPr>
                <w:rFonts w:eastAsia="Times New Roman" w:cs="Calibri"/>
                <w:color w:val="000000"/>
                <w:sz w:val="22"/>
                <w:lang w:val="en-GB" w:eastAsia="en-GB"/>
              </w:rPr>
            </w:pPr>
            <w:r>
              <w:rPr>
                <w:rFonts w:eastAsia="Times New Roman" w:cs="Calibri"/>
                <w:color w:val="000000"/>
                <w:sz w:val="22"/>
                <w:lang w:val="en-GB" w:eastAsia="en-GB"/>
              </w:rPr>
              <w:t>-</w:t>
            </w:r>
            <w:r w:rsidRPr="001C5E68">
              <w:rPr>
                <w:rFonts w:eastAsia="Times New Roman" w:cs="Calibri"/>
                <w:color w:val="000000"/>
                <w:sz w:val="22"/>
                <w:lang w:val="en-GB" w:eastAsia="en-GB"/>
              </w:rPr>
              <w:t> </w:t>
            </w:r>
          </w:p>
        </w:tc>
        <w:tc>
          <w:tcPr>
            <w:tcW w:w="913" w:type="pct"/>
            <w:tcBorders>
              <w:top w:val="nil"/>
              <w:left w:val="nil"/>
              <w:bottom w:val="single" w:sz="4" w:space="0" w:color="auto"/>
              <w:right w:val="single" w:sz="4" w:space="0" w:color="auto"/>
            </w:tcBorders>
            <w:shd w:val="clear" w:color="auto" w:fill="auto"/>
            <w:vAlign w:val="center"/>
          </w:tcPr>
          <w:p w14:paraId="6006B40B" w14:textId="500B9AED" w:rsidR="005F1A60" w:rsidRDefault="005F1A60" w:rsidP="005F1A60">
            <w:pPr>
              <w:jc w:val="right"/>
              <w:rPr>
                <w:rFonts w:cs="Calibri"/>
                <w:color w:val="000000"/>
                <w:sz w:val="22"/>
              </w:rPr>
            </w:pPr>
            <w:r>
              <w:rPr>
                <w:rFonts w:cs="Calibri"/>
                <w:color w:val="000000"/>
                <w:sz w:val="22"/>
              </w:rPr>
              <w:t> </w:t>
            </w:r>
          </w:p>
        </w:tc>
        <w:tc>
          <w:tcPr>
            <w:tcW w:w="1045" w:type="pct"/>
            <w:tcBorders>
              <w:top w:val="nil"/>
              <w:left w:val="nil"/>
              <w:bottom w:val="single" w:sz="4" w:space="0" w:color="auto"/>
              <w:right w:val="single" w:sz="4" w:space="0" w:color="auto"/>
            </w:tcBorders>
            <w:shd w:val="clear" w:color="auto" w:fill="auto"/>
            <w:vAlign w:val="center"/>
          </w:tcPr>
          <w:p w14:paraId="7C35E8B4" w14:textId="68435242" w:rsidR="005F1A60" w:rsidRDefault="005F1A60" w:rsidP="005F1A60">
            <w:pPr>
              <w:jc w:val="right"/>
              <w:rPr>
                <w:rFonts w:cs="Calibri"/>
                <w:color w:val="000000"/>
                <w:sz w:val="22"/>
              </w:rPr>
            </w:pPr>
            <w:r>
              <w:rPr>
                <w:rFonts w:cs="Calibri"/>
                <w:color w:val="000000"/>
                <w:sz w:val="22"/>
              </w:rPr>
              <w:t> </w:t>
            </w:r>
          </w:p>
        </w:tc>
      </w:tr>
      <w:tr w:rsidR="005F1A60" w:rsidRPr="001C5E68" w14:paraId="340C12DF" w14:textId="77777777" w:rsidTr="00AB7FC8">
        <w:trPr>
          <w:trHeight w:val="330"/>
        </w:trPr>
        <w:tc>
          <w:tcPr>
            <w:tcW w:w="456" w:type="pct"/>
            <w:tcBorders>
              <w:top w:val="nil"/>
              <w:left w:val="single" w:sz="4" w:space="0" w:color="auto"/>
              <w:bottom w:val="single" w:sz="4" w:space="0" w:color="auto"/>
              <w:right w:val="single" w:sz="4" w:space="0" w:color="auto"/>
            </w:tcBorders>
            <w:shd w:val="clear" w:color="auto" w:fill="auto"/>
            <w:vAlign w:val="center"/>
            <w:hideMark/>
          </w:tcPr>
          <w:p w14:paraId="4FE450DD"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3</w:t>
            </w:r>
          </w:p>
        </w:tc>
        <w:tc>
          <w:tcPr>
            <w:tcW w:w="1585" w:type="pct"/>
            <w:tcBorders>
              <w:top w:val="nil"/>
              <w:left w:val="nil"/>
              <w:bottom w:val="single" w:sz="4" w:space="0" w:color="auto"/>
              <w:right w:val="single" w:sz="4" w:space="0" w:color="auto"/>
            </w:tcBorders>
            <w:shd w:val="clear" w:color="auto" w:fill="auto"/>
            <w:vAlign w:val="center"/>
            <w:hideMark/>
          </w:tcPr>
          <w:p w14:paraId="04FF1BD6" w14:textId="77777777" w:rsidR="005F1A60" w:rsidRPr="001C5E68" w:rsidRDefault="005F1A60" w:rsidP="005F1A60">
            <w:pPr>
              <w:spacing w:line="240" w:lineRule="auto"/>
              <w:jc w:val="left"/>
              <w:rPr>
                <w:rFonts w:eastAsia="Times New Roman" w:cs="Calibri"/>
                <w:color w:val="000000"/>
                <w:sz w:val="22"/>
                <w:lang w:val="en-GB" w:eastAsia="en-GB"/>
              </w:rPr>
            </w:pPr>
            <w:r w:rsidRPr="001C5E68">
              <w:rPr>
                <w:rFonts w:eastAsia="Times New Roman" w:cs="Calibri"/>
                <w:color w:val="000000"/>
                <w:sz w:val="22"/>
                <w:lang w:val="en-GB" w:eastAsia="en-GB"/>
              </w:rPr>
              <w:t>Receivables 2 Months</w:t>
            </w:r>
          </w:p>
        </w:tc>
        <w:tc>
          <w:tcPr>
            <w:tcW w:w="1001" w:type="pct"/>
            <w:tcBorders>
              <w:top w:val="nil"/>
              <w:left w:val="nil"/>
              <w:bottom w:val="single" w:sz="4" w:space="0" w:color="auto"/>
              <w:right w:val="single" w:sz="4" w:space="0" w:color="auto"/>
            </w:tcBorders>
            <w:shd w:val="clear" w:color="auto" w:fill="auto"/>
            <w:vAlign w:val="center"/>
            <w:hideMark/>
          </w:tcPr>
          <w:p w14:paraId="49DB8349"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 </w:t>
            </w:r>
            <w:r>
              <w:rPr>
                <w:rFonts w:eastAsia="Times New Roman" w:cs="Calibri"/>
                <w:color w:val="000000"/>
                <w:sz w:val="22"/>
                <w:lang w:val="en-GB" w:eastAsia="en-GB"/>
              </w:rPr>
              <w:t>0.90</w:t>
            </w:r>
          </w:p>
        </w:tc>
        <w:tc>
          <w:tcPr>
            <w:tcW w:w="913" w:type="pct"/>
            <w:tcBorders>
              <w:top w:val="nil"/>
              <w:left w:val="nil"/>
              <w:bottom w:val="single" w:sz="4" w:space="0" w:color="auto"/>
              <w:right w:val="single" w:sz="4" w:space="0" w:color="auto"/>
            </w:tcBorders>
            <w:shd w:val="clear" w:color="auto" w:fill="auto"/>
            <w:vAlign w:val="center"/>
          </w:tcPr>
          <w:p w14:paraId="0548573F" w14:textId="79B797D9" w:rsidR="005F1A60" w:rsidRDefault="005F1A60" w:rsidP="005F1A60">
            <w:pPr>
              <w:jc w:val="right"/>
              <w:rPr>
                <w:rFonts w:cs="Calibri"/>
                <w:color w:val="000000"/>
                <w:sz w:val="22"/>
              </w:rPr>
            </w:pPr>
            <w:r>
              <w:rPr>
                <w:rFonts w:cs="Calibri"/>
                <w:color w:val="000000"/>
                <w:sz w:val="22"/>
              </w:rPr>
              <w:t xml:space="preserve">                   1.46 </w:t>
            </w:r>
          </w:p>
        </w:tc>
        <w:tc>
          <w:tcPr>
            <w:tcW w:w="1045" w:type="pct"/>
            <w:tcBorders>
              <w:top w:val="nil"/>
              <w:left w:val="nil"/>
              <w:bottom w:val="single" w:sz="4" w:space="0" w:color="auto"/>
              <w:right w:val="single" w:sz="4" w:space="0" w:color="auto"/>
            </w:tcBorders>
            <w:shd w:val="clear" w:color="auto" w:fill="auto"/>
            <w:vAlign w:val="center"/>
          </w:tcPr>
          <w:p w14:paraId="4347C98E" w14:textId="134952ED" w:rsidR="005F1A60" w:rsidRDefault="005F1A60" w:rsidP="005F1A60">
            <w:pPr>
              <w:jc w:val="right"/>
              <w:rPr>
                <w:rFonts w:cs="Calibri"/>
                <w:color w:val="000000"/>
                <w:sz w:val="22"/>
              </w:rPr>
            </w:pPr>
            <w:r>
              <w:rPr>
                <w:rFonts w:cs="Calibri"/>
                <w:color w:val="000000"/>
                <w:sz w:val="22"/>
              </w:rPr>
              <w:t xml:space="preserve">            1.51 </w:t>
            </w:r>
          </w:p>
        </w:tc>
      </w:tr>
      <w:tr w:rsidR="005F1A60" w:rsidRPr="001C5E68" w14:paraId="76B470A6" w14:textId="77777777" w:rsidTr="00AB7FC8">
        <w:trPr>
          <w:trHeight w:val="330"/>
        </w:trPr>
        <w:tc>
          <w:tcPr>
            <w:tcW w:w="456" w:type="pct"/>
            <w:tcBorders>
              <w:top w:val="nil"/>
              <w:left w:val="single" w:sz="4" w:space="0" w:color="auto"/>
              <w:bottom w:val="single" w:sz="4" w:space="0" w:color="auto"/>
              <w:right w:val="single" w:sz="4" w:space="0" w:color="auto"/>
            </w:tcBorders>
            <w:shd w:val="clear" w:color="auto" w:fill="auto"/>
            <w:vAlign w:val="center"/>
            <w:hideMark/>
          </w:tcPr>
          <w:p w14:paraId="4E3CB706"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4</w:t>
            </w:r>
          </w:p>
        </w:tc>
        <w:tc>
          <w:tcPr>
            <w:tcW w:w="1585" w:type="pct"/>
            <w:tcBorders>
              <w:top w:val="nil"/>
              <w:left w:val="nil"/>
              <w:bottom w:val="single" w:sz="4" w:space="0" w:color="auto"/>
              <w:right w:val="single" w:sz="4" w:space="0" w:color="auto"/>
            </w:tcBorders>
            <w:shd w:val="clear" w:color="auto" w:fill="auto"/>
            <w:vAlign w:val="center"/>
            <w:hideMark/>
          </w:tcPr>
          <w:p w14:paraId="0A463BFF" w14:textId="77777777" w:rsidR="005F1A60" w:rsidRPr="001C5E68" w:rsidRDefault="005F1A60" w:rsidP="005F1A60">
            <w:pPr>
              <w:spacing w:line="240" w:lineRule="auto"/>
              <w:jc w:val="left"/>
              <w:rPr>
                <w:rFonts w:eastAsia="Times New Roman" w:cs="Calibri"/>
                <w:b/>
                <w:bCs/>
                <w:color w:val="000000"/>
                <w:sz w:val="22"/>
                <w:lang w:val="en-GB" w:eastAsia="en-GB"/>
              </w:rPr>
            </w:pPr>
            <w:r w:rsidRPr="001C5E68">
              <w:rPr>
                <w:rFonts w:eastAsia="Times New Roman" w:cs="Calibri"/>
                <w:b/>
                <w:bCs/>
                <w:color w:val="000000"/>
                <w:sz w:val="22"/>
                <w:lang w:val="en-GB" w:eastAsia="en-GB"/>
              </w:rPr>
              <w:t>Total Working Capital</w:t>
            </w:r>
          </w:p>
        </w:tc>
        <w:tc>
          <w:tcPr>
            <w:tcW w:w="1001" w:type="pct"/>
            <w:tcBorders>
              <w:top w:val="nil"/>
              <w:left w:val="nil"/>
              <w:bottom w:val="single" w:sz="4" w:space="0" w:color="auto"/>
              <w:right w:val="single" w:sz="4" w:space="0" w:color="auto"/>
            </w:tcBorders>
            <w:shd w:val="clear" w:color="auto" w:fill="auto"/>
            <w:vAlign w:val="center"/>
            <w:hideMark/>
          </w:tcPr>
          <w:p w14:paraId="43785ECF" w14:textId="77777777" w:rsidR="005F1A60" w:rsidRPr="001C5E68" w:rsidRDefault="005F1A60" w:rsidP="005F1A60">
            <w:pPr>
              <w:spacing w:line="240" w:lineRule="auto"/>
              <w:jc w:val="center"/>
              <w:rPr>
                <w:rFonts w:eastAsia="Times New Roman" w:cs="Calibri"/>
                <w:b/>
                <w:bCs/>
                <w:color w:val="000000"/>
                <w:sz w:val="22"/>
                <w:lang w:val="en-GB" w:eastAsia="en-GB"/>
              </w:rPr>
            </w:pPr>
            <w:r w:rsidRPr="001C5E68">
              <w:rPr>
                <w:rFonts w:eastAsia="Times New Roman" w:cs="Calibri"/>
                <w:b/>
                <w:bCs/>
                <w:color w:val="000000"/>
                <w:sz w:val="22"/>
                <w:lang w:val="en-GB" w:eastAsia="en-GB"/>
              </w:rPr>
              <w:t> </w:t>
            </w:r>
            <w:r>
              <w:rPr>
                <w:rFonts w:eastAsia="Times New Roman" w:cs="Calibri"/>
                <w:b/>
                <w:bCs/>
                <w:color w:val="000000"/>
                <w:sz w:val="22"/>
                <w:lang w:val="en-GB" w:eastAsia="en-GB"/>
              </w:rPr>
              <w:t>1.34</w:t>
            </w:r>
          </w:p>
        </w:tc>
        <w:tc>
          <w:tcPr>
            <w:tcW w:w="913" w:type="pct"/>
            <w:tcBorders>
              <w:top w:val="nil"/>
              <w:left w:val="nil"/>
              <w:bottom w:val="single" w:sz="4" w:space="0" w:color="auto"/>
              <w:right w:val="single" w:sz="4" w:space="0" w:color="auto"/>
            </w:tcBorders>
            <w:shd w:val="clear" w:color="auto" w:fill="auto"/>
            <w:vAlign w:val="center"/>
          </w:tcPr>
          <w:p w14:paraId="7BD9F560" w14:textId="7EFF0192" w:rsidR="005F1A60" w:rsidRPr="00AB7FC8" w:rsidRDefault="005F1A60" w:rsidP="005F1A60">
            <w:pPr>
              <w:jc w:val="right"/>
              <w:rPr>
                <w:rFonts w:cs="Calibri"/>
                <w:b/>
                <w:color w:val="000000"/>
                <w:sz w:val="22"/>
              </w:rPr>
            </w:pPr>
            <w:r>
              <w:rPr>
                <w:rFonts w:cs="Calibri"/>
                <w:color w:val="000000"/>
                <w:sz w:val="22"/>
              </w:rPr>
              <w:t xml:space="preserve">                 2.16 </w:t>
            </w:r>
          </w:p>
        </w:tc>
        <w:tc>
          <w:tcPr>
            <w:tcW w:w="1045" w:type="pct"/>
            <w:tcBorders>
              <w:top w:val="nil"/>
              <w:left w:val="nil"/>
              <w:bottom w:val="single" w:sz="4" w:space="0" w:color="auto"/>
              <w:right w:val="single" w:sz="4" w:space="0" w:color="auto"/>
            </w:tcBorders>
            <w:shd w:val="clear" w:color="auto" w:fill="auto"/>
            <w:vAlign w:val="center"/>
          </w:tcPr>
          <w:p w14:paraId="73A75D55" w14:textId="17EC3614" w:rsidR="005F1A60" w:rsidRPr="00AB7FC8" w:rsidRDefault="005F1A60" w:rsidP="005F1A60">
            <w:pPr>
              <w:jc w:val="right"/>
              <w:rPr>
                <w:rFonts w:cs="Calibri"/>
                <w:b/>
                <w:color w:val="000000"/>
                <w:sz w:val="22"/>
              </w:rPr>
            </w:pPr>
            <w:r>
              <w:rPr>
                <w:rFonts w:cs="Calibri"/>
                <w:color w:val="000000"/>
                <w:sz w:val="22"/>
              </w:rPr>
              <w:t xml:space="preserve">            2.25 </w:t>
            </w:r>
          </w:p>
        </w:tc>
      </w:tr>
      <w:tr w:rsidR="005F1A60" w:rsidRPr="001C5E68" w14:paraId="619D5AA5" w14:textId="77777777" w:rsidTr="00AB7FC8">
        <w:trPr>
          <w:trHeight w:val="330"/>
        </w:trPr>
        <w:tc>
          <w:tcPr>
            <w:tcW w:w="456" w:type="pct"/>
            <w:tcBorders>
              <w:top w:val="nil"/>
              <w:left w:val="single" w:sz="4" w:space="0" w:color="auto"/>
              <w:bottom w:val="single" w:sz="4" w:space="0" w:color="auto"/>
              <w:right w:val="single" w:sz="4" w:space="0" w:color="auto"/>
            </w:tcBorders>
            <w:shd w:val="clear" w:color="auto" w:fill="auto"/>
            <w:vAlign w:val="center"/>
            <w:hideMark/>
          </w:tcPr>
          <w:p w14:paraId="03528A5E"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5</w:t>
            </w:r>
          </w:p>
        </w:tc>
        <w:tc>
          <w:tcPr>
            <w:tcW w:w="1585" w:type="pct"/>
            <w:tcBorders>
              <w:top w:val="nil"/>
              <w:left w:val="nil"/>
              <w:bottom w:val="single" w:sz="4" w:space="0" w:color="auto"/>
              <w:right w:val="single" w:sz="4" w:space="0" w:color="auto"/>
            </w:tcBorders>
            <w:shd w:val="clear" w:color="auto" w:fill="auto"/>
            <w:vAlign w:val="center"/>
            <w:hideMark/>
          </w:tcPr>
          <w:p w14:paraId="1092E795" w14:textId="77777777" w:rsidR="005F1A60" w:rsidRPr="001C5E68" w:rsidRDefault="005F1A60" w:rsidP="005F1A60">
            <w:pPr>
              <w:spacing w:line="240" w:lineRule="auto"/>
              <w:jc w:val="left"/>
              <w:rPr>
                <w:rFonts w:eastAsia="Times New Roman" w:cs="Calibri"/>
                <w:color w:val="000000"/>
                <w:sz w:val="22"/>
                <w:lang w:val="en-GB" w:eastAsia="en-GB"/>
              </w:rPr>
            </w:pPr>
            <w:r w:rsidRPr="001C5E68">
              <w:rPr>
                <w:rFonts w:eastAsia="Times New Roman" w:cs="Calibri"/>
                <w:color w:val="000000"/>
                <w:sz w:val="22"/>
                <w:lang w:val="en-GB" w:eastAsia="en-GB"/>
              </w:rPr>
              <w:t>Rate of Interest</w:t>
            </w:r>
          </w:p>
        </w:tc>
        <w:tc>
          <w:tcPr>
            <w:tcW w:w="1001" w:type="pct"/>
            <w:tcBorders>
              <w:top w:val="nil"/>
              <w:left w:val="nil"/>
              <w:bottom w:val="single" w:sz="4" w:space="0" w:color="auto"/>
              <w:right w:val="single" w:sz="4" w:space="0" w:color="auto"/>
            </w:tcBorders>
            <w:shd w:val="clear" w:color="auto" w:fill="auto"/>
            <w:vAlign w:val="center"/>
            <w:hideMark/>
          </w:tcPr>
          <w:p w14:paraId="6ECAF1C8"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 </w:t>
            </w:r>
            <w:r>
              <w:rPr>
                <w:rFonts w:eastAsia="Times New Roman" w:cs="Calibri"/>
                <w:color w:val="000000"/>
                <w:sz w:val="22"/>
                <w:lang w:val="en-GB" w:eastAsia="en-GB"/>
              </w:rPr>
              <w:t>12.80%</w:t>
            </w:r>
          </w:p>
        </w:tc>
        <w:tc>
          <w:tcPr>
            <w:tcW w:w="913" w:type="pct"/>
            <w:tcBorders>
              <w:top w:val="nil"/>
              <w:left w:val="nil"/>
              <w:bottom w:val="single" w:sz="4" w:space="0" w:color="auto"/>
              <w:right w:val="single" w:sz="4" w:space="0" w:color="auto"/>
            </w:tcBorders>
            <w:shd w:val="clear" w:color="auto" w:fill="auto"/>
            <w:vAlign w:val="center"/>
          </w:tcPr>
          <w:p w14:paraId="7AAA6E67" w14:textId="5BE35071" w:rsidR="005F1A60" w:rsidRDefault="005F1A60" w:rsidP="005F1A60">
            <w:pPr>
              <w:jc w:val="right"/>
              <w:rPr>
                <w:rFonts w:cs="Calibri"/>
                <w:color w:val="000000"/>
                <w:sz w:val="22"/>
              </w:rPr>
            </w:pPr>
            <w:r>
              <w:rPr>
                <w:rFonts w:cs="Calibri"/>
                <w:color w:val="000000"/>
                <w:sz w:val="22"/>
              </w:rPr>
              <w:t>12.80%</w:t>
            </w:r>
          </w:p>
        </w:tc>
        <w:tc>
          <w:tcPr>
            <w:tcW w:w="1045" w:type="pct"/>
            <w:tcBorders>
              <w:top w:val="nil"/>
              <w:left w:val="nil"/>
              <w:bottom w:val="single" w:sz="4" w:space="0" w:color="auto"/>
              <w:right w:val="single" w:sz="4" w:space="0" w:color="auto"/>
            </w:tcBorders>
            <w:shd w:val="clear" w:color="auto" w:fill="auto"/>
            <w:vAlign w:val="center"/>
          </w:tcPr>
          <w:p w14:paraId="775A6338" w14:textId="3A91DB37" w:rsidR="005F1A60" w:rsidRDefault="005F1A60" w:rsidP="005F1A60">
            <w:pPr>
              <w:jc w:val="right"/>
              <w:rPr>
                <w:rFonts w:cs="Calibri"/>
                <w:color w:val="000000"/>
                <w:sz w:val="22"/>
              </w:rPr>
            </w:pPr>
            <w:r>
              <w:rPr>
                <w:rFonts w:cs="Calibri"/>
                <w:color w:val="000000"/>
                <w:sz w:val="22"/>
              </w:rPr>
              <w:t>12.45%</w:t>
            </w:r>
          </w:p>
        </w:tc>
      </w:tr>
      <w:tr w:rsidR="005F1A60" w:rsidRPr="001C5E68" w14:paraId="385A5A1E" w14:textId="77777777" w:rsidTr="00AB7FC8">
        <w:trPr>
          <w:trHeight w:val="330"/>
        </w:trPr>
        <w:tc>
          <w:tcPr>
            <w:tcW w:w="456" w:type="pct"/>
            <w:tcBorders>
              <w:top w:val="nil"/>
              <w:left w:val="single" w:sz="4" w:space="0" w:color="auto"/>
              <w:bottom w:val="single" w:sz="4" w:space="0" w:color="auto"/>
              <w:right w:val="single" w:sz="4" w:space="0" w:color="auto"/>
            </w:tcBorders>
            <w:shd w:val="clear" w:color="auto" w:fill="auto"/>
            <w:vAlign w:val="center"/>
            <w:hideMark/>
          </w:tcPr>
          <w:p w14:paraId="6CAB5D28" w14:textId="77777777" w:rsidR="005F1A60" w:rsidRPr="001C5E68" w:rsidRDefault="005F1A60" w:rsidP="005F1A60">
            <w:pPr>
              <w:spacing w:line="240" w:lineRule="auto"/>
              <w:jc w:val="center"/>
              <w:rPr>
                <w:rFonts w:eastAsia="Times New Roman" w:cs="Calibri"/>
                <w:color w:val="000000"/>
                <w:sz w:val="22"/>
                <w:lang w:val="en-GB" w:eastAsia="en-GB"/>
              </w:rPr>
            </w:pPr>
            <w:r w:rsidRPr="001C5E68">
              <w:rPr>
                <w:rFonts w:eastAsia="Times New Roman" w:cs="Calibri"/>
                <w:color w:val="000000"/>
                <w:sz w:val="22"/>
                <w:lang w:val="en-GB" w:eastAsia="en-GB"/>
              </w:rPr>
              <w:t>6</w:t>
            </w:r>
          </w:p>
        </w:tc>
        <w:tc>
          <w:tcPr>
            <w:tcW w:w="1585" w:type="pct"/>
            <w:tcBorders>
              <w:top w:val="nil"/>
              <w:left w:val="nil"/>
              <w:bottom w:val="single" w:sz="4" w:space="0" w:color="auto"/>
              <w:right w:val="single" w:sz="4" w:space="0" w:color="auto"/>
            </w:tcBorders>
            <w:shd w:val="clear" w:color="auto" w:fill="auto"/>
            <w:vAlign w:val="center"/>
            <w:hideMark/>
          </w:tcPr>
          <w:p w14:paraId="0521B2FB" w14:textId="77777777" w:rsidR="005F1A60" w:rsidRPr="001C5E68" w:rsidRDefault="005F1A60" w:rsidP="005F1A60">
            <w:pPr>
              <w:spacing w:line="240" w:lineRule="auto"/>
              <w:jc w:val="left"/>
              <w:rPr>
                <w:rFonts w:eastAsia="Times New Roman" w:cs="Calibri"/>
                <w:b/>
                <w:bCs/>
                <w:color w:val="000000"/>
                <w:sz w:val="22"/>
                <w:lang w:val="en-GB" w:eastAsia="en-GB"/>
              </w:rPr>
            </w:pPr>
            <w:r w:rsidRPr="001C5E68">
              <w:rPr>
                <w:rFonts w:eastAsia="Times New Roman" w:cs="Calibri"/>
                <w:b/>
                <w:bCs/>
                <w:color w:val="000000"/>
                <w:sz w:val="22"/>
                <w:lang w:val="en-GB" w:eastAsia="en-GB"/>
              </w:rPr>
              <w:t>Interest on Working Capital</w:t>
            </w:r>
          </w:p>
        </w:tc>
        <w:tc>
          <w:tcPr>
            <w:tcW w:w="1001" w:type="pct"/>
            <w:tcBorders>
              <w:top w:val="nil"/>
              <w:left w:val="nil"/>
              <w:bottom w:val="single" w:sz="4" w:space="0" w:color="auto"/>
              <w:right w:val="single" w:sz="4" w:space="0" w:color="auto"/>
            </w:tcBorders>
            <w:shd w:val="clear" w:color="auto" w:fill="auto"/>
            <w:vAlign w:val="center"/>
            <w:hideMark/>
          </w:tcPr>
          <w:p w14:paraId="78DC0CF0" w14:textId="77777777" w:rsidR="005F1A60" w:rsidRPr="001C5E68" w:rsidRDefault="005F1A60" w:rsidP="005F1A60">
            <w:pPr>
              <w:spacing w:line="240" w:lineRule="auto"/>
              <w:jc w:val="center"/>
              <w:rPr>
                <w:rFonts w:eastAsia="Times New Roman" w:cs="Calibri"/>
                <w:b/>
                <w:bCs/>
                <w:color w:val="000000"/>
                <w:sz w:val="22"/>
                <w:lang w:val="en-GB" w:eastAsia="en-GB"/>
              </w:rPr>
            </w:pPr>
            <w:r w:rsidRPr="001C5E68">
              <w:rPr>
                <w:rFonts w:eastAsia="Times New Roman" w:cs="Calibri"/>
                <w:b/>
                <w:bCs/>
                <w:color w:val="000000"/>
                <w:sz w:val="22"/>
                <w:lang w:val="en-GB" w:eastAsia="en-GB"/>
              </w:rPr>
              <w:t> </w:t>
            </w:r>
            <w:r>
              <w:rPr>
                <w:rFonts w:eastAsia="Times New Roman" w:cs="Calibri"/>
                <w:b/>
                <w:bCs/>
                <w:color w:val="000000"/>
                <w:sz w:val="22"/>
                <w:lang w:val="en-GB" w:eastAsia="en-GB"/>
              </w:rPr>
              <w:t>0.17</w:t>
            </w:r>
          </w:p>
        </w:tc>
        <w:tc>
          <w:tcPr>
            <w:tcW w:w="913" w:type="pct"/>
            <w:tcBorders>
              <w:top w:val="nil"/>
              <w:left w:val="nil"/>
              <w:bottom w:val="single" w:sz="4" w:space="0" w:color="auto"/>
              <w:right w:val="single" w:sz="4" w:space="0" w:color="auto"/>
            </w:tcBorders>
            <w:shd w:val="clear" w:color="auto" w:fill="auto"/>
            <w:vAlign w:val="center"/>
          </w:tcPr>
          <w:p w14:paraId="2CE95783" w14:textId="0893907F" w:rsidR="005F1A60" w:rsidRDefault="005F1A60" w:rsidP="005F1A60">
            <w:pPr>
              <w:jc w:val="right"/>
              <w:rPr>
                <w:rFonts w:cs="Calibri"/>
                <w:b/>
                <w:bCs/>
                <w:color w:val="000000"/>
                <w:sz w:val="22"/>
              </w:rPr>
            </w:pPr>
            <w:r>
              <w:rPr>
                <w:rFonts w:cs="Calibri"/>
                <w:b/>
                <w:bCs/>
                <w:color w:val="000000"/>
                <w:sz w:val="22"/>
              </w:rPr>
              <w:t xml:space="preserve">                0.28 </w:t>
            </w:r>
          </w:p>
        </w:tc>
        <w:tc>
          <w:tcPr>
            <w:tcW w:w="1045" w:type="pct"/>
            <w:tcBorders>
              <w:top w:val="nil"/>
              <w:left w:val="nil"/>
              <w:bottom w:val="single" w:sz="4" w:space="0" w:color="auto"/>
              <w:right w:val="single" w:sz="4" w:space="0" w:color="auto"/>
            </w:tcBorders>
            <w:shd w:val="clear" w:color="auto" w:fill="auto"/>
            <w:vAlign w:val="center"/>
          </w:tcPr>
          <w:p w14:paraId="0ECF0E0A" w14:textId="201AFE81" w:rsidR="005F1A60" w:rsidRDefault="005F1A60" w:rsidP="005F1A60">
            <w:pPr>
              <w:jc w:val="right"/>
              <w:rPr>
                <w:rFonts w:cs="Calibri"/>
                <w:b/>
                <w:bCs/>
                <w:color w:val="000000"/>
                <w:sz w:val="22"/>
              </w:rPr>
            </w:pPr>
            <w:r>
              <w:rPr>
                <w:rFonts w:cs="Calibri"/>
                <w:b/>
                <w:bCs/>
                <w:color w:val="000000"/>
                <w:sz w:val="22"/>
              </w:rPr>
              <w:t xml:space="preserve">            0.28 </w:t>
            </w:r>
          </w:p>
        </w:tc>
      </w:tr>
    </w:tbl>
    <w:p w14:paraId="7D400B7C" w14:textId="77777777" w:rsidR="001C5E68" w:rsidRDefault="001C5E68" w:rsidP="001C5E68"/>
    <w:p w14:paraId="1D05850B" w14:textId="77777777" w:rsidR="00CB42FA" w:rsidRDefault="00CB42FA" w:rsidP="00CB42FA">
      <w:pPr>
        <w:pStyle w:val="Heading2"/>
        <w:ind w:left="0" w:firstLine="0"/>
      </w:pPr>
      <w:bookmarkStart w:id="31" w:name="_Toc498423464"/>
      <w:r>
        <w:t>Aggregate Revenue Requirement</w:t>
      </w:r>
      <w:bookmarkEnd w:id="13"/>
      <w:bookmarkEnd w:id="14"/>
      <w:bookmarkEnd w:id="31"/>
    </w:p>
    <w:p w14:paraId="4A1C7DD8" w14:textId="77777777" w:rsidR="006C0256" w:rsidRPr="006C0256" w:rsidRDefault="006C0256" w:rsidP="006C0256"/>
    <w:p w14:paraId="27933B52" w14:textId="3A618447" w:rsidR="00CB42FA" w:rsidRDefault="00CB42FA" w:rsidP="006C0256">
      <w:bookmarkStart w:id="32" w:name="_Toc440469102"/>
      <w:r>
        <w:t xml:space="preserve">The </w:t>
      </w:r>
      <w:r w:rsidR="00AB7FC8">
        <w:t xml:space="preserve">revised </w:t>
      </w:r>
      <w:proofErr w:type="spellStart"/>
      <w:r w:rsidR="00AB7FC8">
        <w:t>ARR</w:t>
      </w:r>
      <w:proofErr w:type="spellEnd"/>
      <w:r w:rsidR="00AB7FC8">
        <w:t xml:space="preserve"> for FY 2017-18 and </w:t>
      </w:r>
      <w:r>
        <w:t xml:space="preserve">projected </w:t>
      </w:r>
      <w:proofErr w:type="spellStart"/>
      <w:r>
        <w:t>ARR</w:t>
      </w:r>
      <w:proofErr w:type="spellEnd"/>
      <w:r>
        <w:t xml:space="preserve"> for </w:t>
      </w:r>
      <w:r w:rsidR="00AB7FC8">
        <w:t>FY 2018-19</w:t>
      </w:r>
      <w:r>
        <w:t xml:space="preserve"> is summarised in the Table below:</w:t>
      </w:r>
      <w:bookmarkEnd w:id="32"/>
    </w:p>
    <w:p w14:paraId="565787D6" w14:textId="78865EBD" w:rsidR="00CB42FA" w:rsidRDefault="00CB42FA" w:rsidP="00CB42FA">
      <w:pPr>
        <w:pStyle w:val="Caption"/>
        <w:spacing w:after="240"/>
      </w:pPr>
      <w:bookmarkStart w:id="33" w:name="_Toc440634239"/>
      <w:bookmarkStart w:id="34" w:name="_Toc498423479"/>
      <w:r w:rsidRPr="00C66B01">
        <w:t xml:space="preserve">Table </w:t>
      </w:r>
      <w:fldSimple w:instr=" STYLEREF 1 \s ">
        <w:r w:rsidR="0045624D">
          <w:rPr>
            <w:noProof/>
          </w:rPr>
          <w:t>2</w:t>
        </w:r>
      </w:fldSimple>
      <w:r>
        <w:noBreakHyphen/>
      </w:r>
      <w:fldSimple w:instr=" SEQ Table \* ARABIC \s 1 ">
        <w:r w:rsidR="0045624D">
          <w:rPr>
            <w:noProof/>
          </w:rPr>
          <w:t>10</w:t>
        </w:r>
      </w:fldSimple>
      <w:r>
        <w:t>:</w:t>
      </w:r>
      <w:r w:rsidRPr="00C66B01">
        <w:t xml:space="preserve"> </w:t>
      </w:r>
      <w:r w:rsidR="00AB7FC8">
        <w:t xml:space="preserve">Revised </w:t>
      </w:r>
      <w:proofErr w:type="spellStart"/>
      <w:r w:rsidR="00AB7FC8">
        <w:t>ARR</w:t>
      </w:r>
      <w:proofErr w:type="spellEnd"/>
      <w:r w:rsidR="00AB7FC8">
        <w:t xml:space="preserve"> for FY 2017-18 and </w:t>
      </w:r>
      <w:r>
        <w:t xml:space="preserve">Projected </w:t>
      </w:r>
      <w:proofErr w:type="spellStart"/>
      <w:r>
        <w:t>ARR</w:t>
      </w:r>
      <w:proofErr w:type="spellEnd"/>
      <w:r>
        <w:t xml:space="preserve"> for </w:t>
      </w:r>
      <w:r w:rsidR="00AB7FC8">
        <w:t>FY 2018-19</w:t>
      </w:r>
      <w:r>
        <w:t xml:space="preserve"> (Rs. </w:t>
      </w:r>
      <w:proofErr w:type="spellStart"/>
      <w:r>
        <w:t>Crore</w:t>
      </w:r>
      <w:proofErr w:type="spellEnd"/>
      <w:r>
        <w:t>)</w:t>
      </w:r>
      <w:bookmarkEnd w:id="33"/>
      <w:bookmarkEnd w:id="34"/>
    </w:p>
    <w:tbl>
      <w:tblPr>
        <w:tblStyle w:val="TableGrid"/>
        <w:tblW w:w="4861" w:type="pct"/>
        <w:tblInd w:w="250" w:type="dxa"/>
        <w:tblLook w:val="04A0" w:firstRow="1" w:lastRow="0" w:firstColumn="1" w:lastColumn="0" w:noHBand="0" w:noVBand="1"/>
      </w:tblPr>
      <w:tblGrid>
        <w:gridCol w:w="709"/>
        <w:gridCol w:w="3118"/>
        <w:gridCol w:w="2552"/>
        <w:gridCol w:w="1276"/>
        <w:gridCol w:w="1330"/>
      </w:tblGrid>
      <w:tr w:rsidR="00AB7FC8" w:rsidRPr="00AB7FC8" w14:paraId="02C863EF" w14:textId="77777777" w:rsidTr="002643E0">
        <w:trPr>
          <w:trHeight w:val="682"/>
          <w:tblHeader/>
        </w:trPr>
        <w:tc>
          <w:tcPr>
            <w:tcW w:w="395" w:type="pct"/>
            <w:shd w:val="clear" w:color="auto" w:fill="FABF8F" w:themeFill="accent6" w:themeFillTint="99"/>
          </w:tcPr>
          <w:p w14:paraId="77030EC8" w14:textId="77777777" w:rsidR="00AB7FC8" w:rsidRPr="00AB7FC8" w:rsidRDefault="00AB7FC8" w:rsidP="001E6F00">
            <w:pPr>
              <w:pStyle w:val="Table"/>
              <w:rPr>
                <w:rFonts w:eastAsiaTheme="majorEastAsia" w:cstheme="majorBidi"/>
                <w:b/>
                <w:bCs/>
                <w:color w:val="4F81BD" w:themeColor="accent1"/>
                <w:sz w:val="22"/>
              </w:rPr>
            </w:pPr>
            <w:r w:rsidRPr="00AB7FC8">
              <w:rPr>
                <w:b/>
                <w:sz w:val="22"/>
              </w:rPr>
              <w:t xml:space="preserve">Sr. No. </w:t>
            </w:r>
          </w:p>
        </w:tc>
        <w:tc>
          <w:tcPr>
            <w:tcW w:w="1735" w:type="pct"/>
            <w:shd w:val="clear" w:color="auto" w:fill="FABF8F" w:themeFill="accent6" w:themeFillTint="99"/>
          </w:tcPr>
          <w:p w14:paraId="4B5AFA07" w14:textId="77777777" w:rsidR="00AB7FC8" w:rsidRPr="00AB7FC8" w:rsidRDefault="00AB7FC8" w:rsidP="001E6F00">
            <w:pPr>
              <w:pStyle w:val="Table"/>
              <w:rPr>
                <w:b/>
                <w:sz w:val="22"/>
              </w:rPr>
            </w:pPr>
            <w:r w:rsidRPr="00AB7FC8">
              <w:rPr>
                <w:b/>
                <w:sz w:val="22"/>
              </w:rPr>
              <w:t>Particulars</w:t>
            </w:r>
          </w:p>
        </w:tc>
        <w:tc>
          <w:tcPr>
            <w:tcW w:w="1420" w:type="pct"/>
            <w:shd w:val="clear" w:color="auto" w:fill="FABF8F" w:themeFill="accent6" w:themeFillTint="99"/>
          </w:tcPr>
          <w:p w14:paraId="7C36C39E" w14:textId="77777777" w:rsidR="00AB7FC8" w:rsidRPr="00AB7FC8" w:rsidRDefault="00AB7FC8" w:rsidP="001E6F00">
            <w:pPr>
              <w:pStyle w:val="Table"/>
              <w:rPr>
                <w:b/>
                <w:sz w:val="22"/>
              </w:rPr>
            </w:pPr>
            <w:r w:rsidRPr="00AB7FC8">
              <w:rPr>
                <w:b/>
                <w:sz w:val="22"/>
              </w:rPr>
              <w:t>FY 2017-18 (Approved in Tariff Order dated 9 March, 2017)</w:t>
            </w:r>
          </w:p>
        </w:tc>
        <w:tc>
          <w:tcPr>
            <w:tcW w:w="710" w:type="pct"/>
            <w:shd w:val="clear" w:color="auto" w:fill="FABF8F" w:themeFill="accent6" w:themeFillTint="99"/>
          </w:tcPr>
          <w:p w14:paraId="5BFB85E0" w14:textId="77777777" w:rsidR="00AB7FC8" w:rsidRPr="00AB7FC8" w:rsidRDefault="00AB7FC8" w:rsidP="001E6F00">
            <w:pPr>
              <w:pStyle w:val="Table"/>
              <w:rPr>
                <w:b/>
                <w:sz w:val="22"/>
              </w:rPr>
            </w:pPr>
            <w:r>
              <w:rPr>
                <w:b/>
                <w:sz w:val="22"/>
              </w:rPr>
              <w:t>FY 2017-18 (Revised)</w:t>
            </w:r>
          </w:p>
        </w:tc>
        <w:tc>
          <w:tcPr>
            <w:tcW w:w="740" w:type="pct"/>
            <w:shd w:val="clear" w:color="auto" w:fill="FABF8F" w:themeFill="accent6" w:themeFillTint="99"/>
          </w:tcPr>
          <w:p w14:paraId="5B4BB76B" w14:textId="77777777" w:rsidR="00AB7FC8" w:rsidRPr="00AB7FC8" w:rsidRDefault="00AB7FC8" w:rsidP="001E6F00">
            <w:pPr>
              <w:pStyle w:val="Table"/>
              <w:rPr>
                <w:b/>
                <w:sz w:val="22"/>
              </w:rPr>
            </w:pPr>
            <w:r>
              <w:rPr>
                <w:b/>
                <w:sz w:val="22"/>
              </w:rPr>
              <w:t>FY 2018-19</w:t>
            </w:r>
          </w:p>
        </w:tc>
      </w:tr>
      <w:tr w:rsidR="005F1A60" w:rsidRPr="00AB7FC8" w14:paraId="51548A16" w14:textId="77777777" w:rsidTr="002643E0">
        <w:trPr>
          <w:trHeight w:val="382"/>
        </w:trPr>
        <w:tc>
          <w:tcPr>
            <w:tcW w:w="395" w:type="pct"/>
          </w:tcPr>
          <w:p w14:paraId="5CAE760E" w14:textId="77777777" w:rsidR="005F1A60" w:rsidRPr="00AB7FC8" w:rsidRDefault="005F1A60" w:rsidP="005F1A60">
            <w:pPr>
              <w:pStyle w:val="Table"/>
              <w:numPr>
                <w:ilvl w:val="0"/>
                <w:numId w:val="3"/>
              </w:numPr>
              <w:ind w:hanging="686"/>
              <w:rPr>
                <w:sz w:val="22"/>
              </w:rPr>
            </w:pPr>
          </w:p>
        </w:tc>
        <w:tc>
          <w:tcPr>
            <w:tcW w:w="1735" w:type="pct"/>
          </w:tcPr>
          <w:p w14:paraId="2BF3D3B4" w14:textId="77777777" w:rsidR="005F1A60" w:rsidRPr="00AB7FC8" w:rsidRDefault="005F1A60" w:rsidP="005F1A60">
            <w:pPr>
              <w:pStyle w:val="Table"/>
              <w:rPr>
                <w:sz w:val="22"/>
              </w:rPr>
            </w:pPr>
            <w:proofErr w:type="spellStart"/>
            <w:r w:rsidRPr="00AB7FC8">
              <w:rPr>
                <w:sz w:val="22"/>
              </w:rPr>
              <w:t>O&amp;M</w:t>
            </w:r>
            <w:proofErr w:type="spellEnd"/>
            <w:r w:rsidRPr="00AB7FC8">
              <w:rPr>
                <w:sz w:val="22"/>
              </w:rPr>
              <w:t xml:space="preserve"> expenses</w:t>
            </w:r>
          </w:p>
        </w:tc>
        <w:tc>
          <w:tcPr>
            <w:tcW w:w="1420" w:type="pct"/>
            <w:vAlign w:val="center"/>
          </w:tcPr>
          <w:p w14:paraId="440D57FD" w14:textId="77777777" w:rsidR="005F1A60" w:rsidRPr="00AB7FC8" w:rsidRDefault="005F1A60" w:rsidP="005F1A60">
            <w:pPr>
              <w:pStyle w:val="Table"/>
              <w:jc w:val="right"/>
              <w:rPr>
                <w:sz w:val="22"/>
              </w:rPr>
            </w:pPr>
            <w:r>
              <w:rPr>
                <w:sz w:val="22"/>
              </w:rPr>
              <w:t>5</w:t>
            </w:r>
            <w:r w:rsidRPr="00AB7FC8">
              <w:rPr>
                <w:sz w:val="22"/>
              </w:rPr>
              <w:t>.25</w:t>
            </w:r>
          </w:p>
        </w:tc>
        <w:tc>
          <w:tcPr>
            <w:tcW w:w="710" w:type="pct"/>
            <w:vAlign w:val="bottom"/>
          </w:tcPr>
          <w:p w14:paraId="4EF55635" w14:textId="46471ADC" w:rsidR="005F1A60" w:rsidRPr="005F1A60" w:rsidRDefault="005F1A60" w:rsidP="005F1A60">
            <w:pPr>
              <w:pStyle w:val="Table"/>
              <w:jc w:val="right"/>
              <w:rPr>
                <w:sz w:val="22"/>
              </w:rPr>
            </w:pPr>
            <w:r w:rsidRPr="00CA386D">
              <w:rPr>
                <w:rFonts w:cs="Calibri"/>
                <w:bCs/>
                <w:color w:val="000000"/>
                <w:sz w:val="22"/>
              </w:rPr>
              <w:t>8.46</w:t>
            </w:r>
          </w:p>
        </w:tc>
        <w:tc>
          <w:tcPr>
            <w:tcW w:w="740" w:type="pct"/>
            <w:vAlign w:val="bottom"/>
          </w:tcPr>
          <w:p w14:paraId="34F90C2A" w14:textId="30DE5525" w:rsidR="005F1A60" w:rsidRPr="005F1A60" w:rsidRDefault="005F1A60" w:rsidP="005F1A60">
            <w:pPr>
              <w:pStyle w:val="Table"/>
              <w:jc w:val="right"/>
              <w:rPr>
                <w:sz w:val="22"/>
              </w:rPr>
            </w:pPr>
            <w:r w:rsidRPr="00CA386D">
              <w:rPr>
                <w:rFonts w:cs="Calibri"/>
                <w:bCs/>
                <w:color w:val="000000"/>
                <w:sz w:val="22"/>
              </w:rPr>
              <w:t>8.80</w:t>
            </w:r>
          </w:p>
        </w:tc>
      </w:tr>
      <w:tr w:rsidR="00AB7FC8" w:rsidRPr="00AB7FC8" w14:paraId="75AF0638" w14:textId="77777777" w:rsidTr="002643E0">
        <w:trPr>
          <w:trHeight w:val="365"/>
        </w:trPr>
        <w:tc>
          <w:tcPr>
            <w:tcW w:w="395" w:type="pct"/>
          </w:tcPr>
          <w:p w14:paraId="33425E3C" w14:textId="77777777" w:rsidR="00AB7FC8" w:rsidRPr="00AB7FC8" w:rsidRDefault="00AB7FC8" w:rsidP="00C652D0">
            <w:pPr>
              <w:pStyle w:val="Table"/>
              <w:numPr>
                <w:ilvl w:val="0"/>
                <w:numId w:val="3"/>
              </w:numPr>
              <w:ind w:hanging="686"/>
              <w:rPr>
                <w:sz w:val="22"/>
              </w:rPr>
            </w:pPr>
          </w:p>
        </w:tc>
        <w:tc>
          <w:tcPr>
            <w:tcW w:w="1735" w:type="pct"/>
          </w:tcPr>
          <w:p w14:paraId="14260163" w14:textId="77777777" w:rsidR="00AB7FC8" w:rsidRPr="00AB7FC8" w:rsidRDefault="00AB7FC8" w:rsidP="00AB7FC8">
            <w:pPr>
              <w:pStyle w:val="Table"/>
              <w:rPr>
                <w:sz w:val="22"/>
              </w:rPr>
            </w:pPr>
            <w:r w:rsidRPr="00AB7FC8">
              <w:rPr>
                <w:sz w:val="22"/>
              </w:rPr>
              <w:t>Depreciation</w:t>
            </w:r>
          </w:p>
        </w:tc>
        <w:tc>
          <w:tcPr>
            <w:tcW w:w="1420" w:type="pct"/>
            <w:vAlign w:val="center"/>
          </w:tcPr>
          <w:p w14:paraId="110FE16C" w14:textId="77777777" w:rsidR="00AB7FC8" w:rsidRPr="00AB7FC8" w:rsidRDefault="00AB7FC8" w:rsidP="00AB7FC8">
            <w:pPr>
              <w:pStyle w:val="Table"/>
              <w:jc w:val="right"/>
              <w:rPr>
                <w:sz w:val="22"/>
              </w:rPr>
            </w:pPr>
            <w:r w:rsidRPr="00AB7FC8">
              <w:rPr>
                <w:sz w:val="22"/>
              </w:rPr>
              <w:t>-</w:t>
            </w:r>
          </w:p>
        </w:tc>
        <w:tc>
          <w:tcPr>
            <w:tcW w:w="710" w:type="pct"/>
            <w:vAlign w:val="center"/>
          </w:tcPr>
          <w:p w14:paraId="2947B764" w14:textId="77777777" w:rsidR="00AB7FC8" w:rsidRPr="00AB7FC8" w:rsidRDefault="00AB7FC8" w:rsidP="00AB7FC8">
            <w:pPr>
              <w:pStyle w:val="Table"/>
              <w:jc w:val="right"/>
              <w:rPr>
                <w:sz w:val="22"/>
              </w:rPr>
            </w:pPr>
            <w:r w:rsidRPr="00AB7FC8">
              <w:rPr>
                <w:sz w:val="22"/>
              </w:rPr>
              <w:t>-</w:t>
            </w:r>
          </w:p>
        </w:tc>
        <w:tc>
          <w:tcPr>
            <w:tcW w:w="740" w:type="pct"/>
            <w:vAlign w:val="center"/>
          </w:tcPr>
          <w:p w14:paraId="3F5331EC" w14:textId="77777777" w:rsidR="00AB7FC8" w:rsidRPr="00AB7FC8" w:rsidRDefault="00AB7FC8" w:rsidP="00AB7FC8">
            <w:pPr>
              <w:pStyle w:val="Table"/>
              <w:jc w:val="right"/>
              <w:rPr>
                <w:sz w:val="22"/>
              </w:rPr>
            </w:pPr>
            <w:r w:rsidRPr="00AB7FC8">
              <w:rPr>
                <w:sz w:val="22"/>
              </w:rPr>
              <w:t>-</w:t>
            </w:r>
          </w:p>
        </w:tc>
      </w:tr>
      <w:tr w:rsidR="00AB7FC8" w:rsidRPr="00AB7FC8" w14:paraId="75C96DFF" w14:textId="77777777" w:rsidTr="002643E0">
        <w:trPr>
          <w:trHeight w:val="382"/>
        </w:trPr>
        <w:tc>
          <w:tcPr>
            <w:tcW w:w="395" w:type="pct"/>
          </w:tcPr>
          <w:p w14:paraId="568E8A3A" w14:textId="77777777" w:rsidR="00AB7FC8" w:rsidRPr="00AB7FC8" w:rsidRDefault="00AB7FC8" w:rsidP="00C652D0">
            <w:pPr>
              <w:pStyle w:val="Table"/>
              <w:numPr>
                <w:ilvl w:val="0"/>
                <w:numId w:val="3"/>
              </w:numPr>
              <w:ind w:hanging="686"/>
              <w:rPr>
                <w:sz w:val="22"/>
              </w:rPr>
            </w:pPr>
          </w:p>
        </w:tc>
        <w:tc>
          <w:tcPr>
            <w:tcW w:w="1735" w:type="pct"/>
          </w:tcPr>
          <w:p w14:paraId="3559C4E3" w14:textId="77777777" w:rsidR="00AB7FC8" w:rsidRPr="00AB7FC8" w:rsidRDefault="00AB7FC8" w:rsidP="00AB7FC8">
            <w:pPr>
              <w:pStyle w:val="Table"/>
              <w:rPr>
                <w:sz w:val="22"/>
              </w:rPr>
            </w:pPr>
            <w:r w:rsidRPr="00AB7FC8">
              <w:rPr>
                <w:sz w:val="22"/>
              </w:rPr>
              <w:t>Interest on Loan Capital</w:t>
            </w:r>
          </w:p>
        </w:tc>
        <w:tc>
          <w:tcPr>
            <w:tcW w:w="1420" w:type="pct"/>
            <w:vAlign w:val="center"/>
          </w:tcPr>
          <w:p w14:paraId="4FE30EEE" w14:textId="77777777" w:rsidR="00AB7FC8" w:rsidRPr="00AB7FC8" w:rsidRDefault="00AB7FC8" w:rsidP="00AB7FC8">
            <w:pPr>
              <w:pStyle w:val="Table"/>
              <w:jc w:val="right"/>
              <w:rPr>
                <w:sz w:val="22"/>
              </w:rPr>
            </w:pPr>
            <w:r w:rsidRPr="00AB7FC8">
              <w:rPr>
                <w:sz w:val="22"/>
              </w:rPr>
              <w:t>-</w:t>
            </w:r>
          </w:p>
        </w:tc>
        <w:tc>
          <w:tcPr>
            <w:tcW w:w="710" w:type="pct"/>
            <w:vAlign w:val="center"/>
          </w:tcPr>
          <w:p w14:paraId="54C0B1D4" w14:textId="77777777" w:rsidR="00AB7FC8" w:rsidRPr="00AB7FC8" w:rsidRDefault="00AB7FC8" w:rsidP="00AB7FC8">
            <w:pPr>
              <w:pStyle w:val="Table"/>
              <w:jc w:val="right"/>
              <w:rPr>
                <w:sz w:val="22"/>
              </w:rPr>
            </w:pPr>
            <w:r w:rsidRPr="00AB7FC8">
              <w:rPr>
                <w:sz w:val="22"/>
              </w:rPr>
              <w:t>-</w:t>
            </w:r>
          </w:p>
        </w:tc>
        <w:tc>
          <w:tcPr>
            <w:tcW w:w="740" w:type="pct"/>
            <w:vAlign w:val="center"/>
          </w:tcPr>
          <w:p w14:paraId="7F72E508" w14:textId="77777777" w:rsidR="00AB7FC8" w:rsidRPr="00AB7FC8" w:rsidRDefault="00AB7FC8" w:rsidP="00AB7FC8">
            <w:pPr>
              <w:pStyle w:val="Table"/>
              <w:jc w:val="right"/>
              <w:rPr>
                <w:sz w:val="22"/>
              </w:rPr>
            </w:pPr>
            <w:r w:rsidRPr="00AB7FC8">
              <w:rPr>
                <w:sz w:val="22"/>
              </w:rPr>
              <w:t>-</w:t>
            </w:r>
          </w:p>
        </w:tc>
      </w:tr>
      <w:tr w:rsidR="005F1A60" w:rsidRPr="00AB7FC8" w14:paraId="661D9D83" w14:textId="77777777" w:rsidTr="002643E0">
        <w:trPr>
          <w:trHeight w:val="382"/>
        </w:trPr>
        <w:tc>
          <w:tcPr>
            <w:tcW w:w="395" w:type="pct"/>
          </w:tcPr>
          <w:p w14:paraId="4B8DC6D9" w14:textId="77777777" w:rsidR="005F1A60" w:rsidRPr="00AB7FC8" w:rsidRDefault="005F1A60" w:rsidP="005F1A60">
            <w:pPr>
              <w:pStyle w:val="Table"/>
              <w:numPr>
                <w:ilvl w:val="0"/>
                <w:numId w:val="3"/>
              </w:numPr>
              <w:ind w:hanging="686"/>
              <w:rPr>
                <w:sz w:val="22"/>
              </w:rPr>
            </w:pPr>
          </w:p>
        </w:tc>
        <w:tc>
          <w:tcPr>
            <w:tcW w:w="1735" w:type="pct"/>
          </w:tcPr>
          <w:p w14:paraId="19124C60" w14:textId="77777777" w:rsidR="005F1A60" w:rsidRPr="00AB7FC8" w:rsidRDefault="005F1A60" w:rsidP="005F1A60">
            <w:pPr>
              <w:pStyle w:val="Table"/>
              <w:rPr>
                <w:sz w:val="22"/>
              </w:rPr>
            </w:pPr>
            <w:r w:rsidRPr="00AB7FC8">
              <w:rPr>
                <w:sz w:val="22"/>
              </w:rPr>
              <w:t>Interest on Working Capital</w:t>
            </w:r>
          </w:p>
        </w:tc>
        <w:tc>
          <w:tcPr>
            <w:tcW w:w="1420" w:type="pct"/>
            <w:vAlign w:val="center"/>
          </w:tcPr>
          <w:p w14:paraId="6E08B4AC" w14:textId="77777777" w:rsidR="005F1A60" w:rsidRPr="00AB7FC8" w:rsidRDefault="005F1A60" w:rsidP="005F1A60">
            <w:pPr>
              <w:pStyle w:val="Table"/>
              <w:jc w:val="right"/>
              <w:rPr>
                <w:sz w:val="22"/>
              </w:rPr>
            </w:pPr>
            <w:r>
              <w:rPr>
                <w:sz w:val="22"/>
              </w:rPr>
              <w:t>0.17</w:t>
            </w:r>
          </w:p>
        </w:tc>
        <w:tc>
          <w:tcPr>
            <w:tcW w:w="710" w:type="pct"/>
            <w:vAlign w:val="center"/>
          </w:tcPr>
          <w:p w14:paraId="5F08145B" w14:textId="5C754382" w:rsidR="005F1A60" w:rsidRPr="00AB7FC8" w:rsidRDefault="005F1A60" w:rsidP="005F1A60">
            <w:pPr>
              <w:pStyle w:val="Table"/>
              <w:jc w:val="right"/>
              <w:rPr>
                <w:sz w:val="22"/>
              </w:rPr>
            </w:pPr>
            <w:r>
              <w:rPr>
                <w:rFonts w:ascii="Calibri" w:hAnsi="Calibri" w:cs="Calibri"/>
                <w:color w:val="000000"/>
                <w:sz w:val="22"/>
              </w:rPr>
              <w:t>0.28</w:t>
            </w:r>
          </w:p>
        </w:tc>
        <w:tc>
          <w:tcPr>
            <w:tcW w:w="740" w:type="pct"/>
            <w:vAlign w:val="center"/>
          </w:tcPr>
          <w:p w14:paraId="5401DA39" w14:textId="19ABAE9E" w:rsidR="005F1A60" w:rsidRPr="00AB7FC8" w:rsidRDefault="005F1A60" w:rsidP="005F1A60">
            <w:pPr>
              <w:pStyle w:val="Table"/>
              <w:jc w:val="right"/>
              <w:rPr>
                <w:sz w:val="22"/>
              </w:rPr>
            </w:pPr>
            <w:r>
              <w:rPr>
                <w:rFonts w:ascii="Calibri" w:hAnsi="Calibri" w:cs="Calibri"/>
                <w:color w:val="000000"/>
                <w:sz w:val="22"/>
              </w:rPr>
              <w:t xml:space="preserve">         0.28 </w:t>
            </w:r>
          </w:p>
        </w:tc>
      </w:tr>
      <w:tr w:rsidR="00AB7FC8" w:rsidRPr="00AB7FC8" w14:paraId="1A94B42D" w14:textId="77777777" w:rsidTr="002643E0">
        <w:trPr>
          <w:trHeight w:val="382"/>
        </w:trPr>
        <w:tc>
          <w:tcPr>
            <w:tcW w:w="395" w:type="pct"/>
          </w:tcPr>
          <w:p w14:paraId="19309E82" w14:textId="77777777" w:rsidR="00AB7FC8" w:rsidRPr="00AB7FC8" w:rsidRDefault="00AB7FC8" w:rsidP="00C652D0">
            <w:pPr>
              <w:pStyle w:val="Table"/>
              <w:numPr>
                <w:ilvl w:val="0"/>
                <w:numId w:val="3"/>
              </w:numPr>
              <w:ind w:hanging="686"/>
              <w:rPr>
                <w:sz w:val="22"/>
              </w:rPr>
            </w:pPr>
          </w:p>
        </w:tc>
        <w:tc>
          <w:tcPr>
            <w:tcW w:w="1735" w:type="pct"/>
          </w:tcPr>
          <w:p w14:paraId="793D94A0" w14:textId="77777777" w:rsidR="00AB7FC8" w:rsidRPr="00AB7FC8" w:rsidRDefault="00AB7FC8" w:rsidP="00AB7FC8">
            <w:pPr>
              <w:pStyle w:val="Table"/>
              <w:rPr>
                <w:sz w:val="22"/>
              </w:rPr>
            </w:pPr>
            <w:r w:rsidRPr="00AB7FC8">
              <w:rPr>
                <w:sz w:val="22"/>
              </w:rPr>
              <w:t>Income Tax</w:t>
            </w:r>
          </w:p>
        </w:tc>
        <w:tc>
          <w:tcPr>
            <w:tcW w:w="1420" w:type="pct"/>
            <w:vAlign w:val="center"/>
          </w:tcPr>
          <w:p w14:paraId="4A7BAF31" w14:textId="77777777" w:rsidR="00AB7FC8" w:rsidRPr="00AB7FC8" w:rsidRDefault="00AB7FC8" w:rsidP="00AB7FC8">
            <w:pPr>
              <w:pStyle w:val="Table"/>
              <w:jc w:val="right"/>
              <w:rPr>
                <w:sz w:val="22"/>
              </w:rPr>
            </w:pPr>
            <w:r w:rsidRPr="00AB7FC8">
              <w:rPr>
                <w:sz w:val="22"/>
              </w:rPr>
              <w:t>-</w:t>
            </w:r>
          </w:p>
        </w:tc>
        <w:tc>
          <w:tcPr>
            <w:tcW w:w="710" w:type="pct"/>
            <w:vAlign w:val="center"/>
          </w:tcPr>
          <w:p w14:paraId="05FCC864" w14:textId="77777777" w:rsidR="00AB7FC8" w:rsidRPr="00AB7FC8" w:rsidRDefault="00AB7FC8" w:rsidP="005F1A60">
            <w:pPr>
              <w:pStyle w:val="Table"/>
              <w:jc w:val="right"/>
              <w:rPr>
                <w:sz w:val="22"/>
              </w:rPr>
            </w:pPr>
            <w:r w:rsidRPr="00AB7FC8">
              <w:rPr>
                <w:sz w:val="22"/>
              </w:rPr>
              <w:t>-</w:t>
            </w:r>
          </w:p>
        </w:tc>
        <w:tc>
          <w:tcPr>
            <w:tcW w:w="740" w:type="pct"/>
            <w:vAlign w:val="center"/>
          </w:tcPr>
          <w:p w14:paraId="4DA052C8" w14:textId="77777777" w:rsidR="00AB7FC8" w:rsidRPr="00AB7FC8" w:rsidRDefault="00AB7FC8" w:rsidP="005F1A60">
            <w:pPr>
              <w:pStyle w:val="Table"/>
              <w:jc w:val="right"/>
              <w:rPr>
                <w:sz w:val="22"/>
              </w:rPr>
            </w:pPr>
            <w:r w:rsidRPr="00AB7FC8">
              <w:rPr>
                <w:sz w:val="22"/>
              </w:rPr>
              <w:t>-</w:t>
            </w:r>
          </w:p>
        </w:tc>
      </w:tr>
      <w:tr w:rsidR="00AB7FC8" w:rsidRPr="00AB7FC8" w14:paraId="73189153" w14:textId="77777777" w:rsidTr="002643E0">
        <w:trPr>
          <w:trHeight w:val="365"/>
        </w:trPr>
        <w:tc>
          <w:tcPr>
            <w:tcW w:w="395" w:type="pct"/>
          </w:tcPr>
          <w:p w14:paraId="55D0DCF1" w14:textId="77777777" w:rsidR="00AB7FC8" w:rsidRPr="00AB7FC8" w:rsidRDefault="00AB7FC8" w:rsidP="00C652D0">
            <w:pPr>
              <w:pStyle w:val="Table"/>
              <w:numPr>
                <w:ilvl w:val="0"/>
                <w:numId w:val="3"/>
              </w:numPr>
              <w:ind w:hanging="686"/>
              <w:rPr>
                <w:b/>
                <w:sz w:val="22"/>
              </w:rPr>
            </w:pPr>
          </w:p>
        </w:tc>
        <w:tc>
          <w:tcPr>
            <w:tcW w:w="1735" w:type="pct"/>
          </w:tcPr>
          <w:p w14:paraId="48B8E50A" w14:textId="77777777" w:rsidR="00AB7FC8" w:rsidRPr="00AB7FC8" w:rsidRDefault="00AB7FC8" w:rsidP="00AB7FC8">
            <w:pPr>
              <w:pStyle w:val="Table"/>
              <w:rPr>
                <w:sz w:val="22"/>
              </w:rPr>
            </w:pPr>
            <w:r w:rsidRPr="00AB7FC8">
              <w:rPr>
                <w:sz w:val="22"/>
              </w:rPr>
              <w:t>Return on Equity</w:t>
            </w:r>
          </w:p>
        </w:tc>
        <w:tc>
          <w:tcPr>
            <w:tcW w:w="1420" w:type="pct"/>
            <w:vAlign w:val="center"/>
          </w:tcPr>
          <w:p w14:paraId="78378227" w14:textId="77777777" w:rsidR="00AB7FC8" w:rsidRPr="00AB7FC8" w:rsidRDefault="00AB7FC8" w:rsidP="00AB7FC8">
            <w:pPr>
              <w:pStyle w:val="Table"/>
              <w:jc w:val="right"/>
              <w:rPr>
                <w:sz w:val="22"/>
              </w:rPr>
            </w:pPr>
            <w:r w:rsidRPr="00AB7FC8">
              <w:rPr>
                <w:sz w:val="22"/>
              </w:rPr>
              <w:t>-</w:t>
            </w:r>
          </w:p>
        </w:tc>
        <w:tc>
          <w:tcPr>
            <w:tcW w:w="710" w:type="pct"/>
            <w:vAlign w:val="center"/>
          </w:tcPr>
          <w:p w14:paraId="048903FD" w14:textId="77777777" w:rsidR="00AB7FC8" w:rsidRPr="00AB7FC8" w:rsidRDefault="00AB7FC8" w:rsidP="005F1A60">
            <w:pPr>
              <w:pStyle w:val="Table"/>
              <w:jc w:val="right"/>
              <w:rPr>
                <w:sz w:val="22"/>
              </w:rPr>
            </w:pPr>
            <w:r w:rsidRPr="00AB7FC8">
              <w:rPr>
                <w:sz w:val="22"/>
              </w:rPr>
              <w:t>-</w:t>
            </w:r>
          </w:p>
        </w:tc>
        <w:tc>
          <w:tcPr>
            <w:tcW w:w="740" w:type="pct"/>
            <w:vAlign w:val="center"/>
          </w:tcPr>
          <w:p w14:paraId="176AB118" w14:textId="77777777" w:rsidR="00AB7FC8" w:rsidRPr="00AB7FC8" w:rsidRDefault="00AB7FC8" w:rsidP="005F1A60">
            <w:pPr>
              <w:pStyle w:val="Table"/>
              <w:jc w:val="right"/>
              <w:rPr>
                <w:sz w:val="22"/>
              </w:rPr>
            </w:pPr>
            <w:r w:rsidRPr="00AB7FC8">
              <w:rPr>
                <w:sz w:val="22"/>
              </w:rPr>
              <w:t>-</w:t>
            </w:r>
          </w:p>
        </w:tc>
      </w:tr>
      <w:tr w:rsidR="005F1A60" w:rsidRPr="00AB7FC8" w14:paraId="5FCAA547" w14:textId="77777777" w:rsidTr="002643E0">
        <w:trPr>
          <w:trHeight w:val="365"/>
        </w:trPr>
        <w:tc>
          <w:tcPr>
            <w:tcW w:w="395" w:type="pct"/>
          </w:tcPr>
          <w:p w14:paraId="108C126B" w14:textId="77777777" w:rsidR="005F1A60" w:rsidRPr="00AB7FC8" w:rsidRDefault="005F1A60" w:rsidP="005F1A60">
            <w:pPr>
              <w:pStyle w:val="Table"/>
              <w:numPr>
                <w:ilvl w:val="0"/>
                <w:numId w:val="3"/>
              </w:numPr>
              <w:ind w:hanging="686"/>
              <w:rPr>
                <w:sz w:val="22"/>
              </w:rPr>
            </w:pPr>
          </w:p>
        </w:tc>
        <w:tc>
          <w:tcPr>
            <w:tcW w:w="1735" w:type="pct"/>
          </w:tcPr>
          <w:p w14:paraId="68AB50AF" w14:textId="77777777" w:rsidR="005F1A60" w:rsidRPr="00AB7FC8" w:rsidRDefault="005F1A60" w:rsidP="005F1A60">
            <w:pPr>
              <w:pStyle w:val="Table"/>
              <w:rPr>
                <w:b/>
                <w:sz w:val="22"/>
              </w:rPr>
            </w:pPr>
            <w:r w:rsidRPr="00AB7FC8">
              <w:rPr>
                <w:b/>
                <w:sz w:val="22"/>
              </w:rPr>
              <w:t>Aggregate Revenue Requirement</w:t>
            </w:r>
          </w:p>
        </w:tc>
        <w:tc>
          <w:tcPr>
            <w:tcW w:w="1420" w:type="pct"/>
            <w:vAlign w:val="center"/>
          </w:tcPr>
          <w:p w14:paraId="0F434429" w14:textId="77777777" w:rsidR="005F1A60" w:rsidRPr="00AB7FC8" w:rsidRDefault="005F1A60" w:rsidP="005F1A60">
            <w:pPr>
              <w:pStyle w:val="Table"/>
              <w:jc w:val="right"/>
              <w:rPr>
                <w:b/>
                <w:sz w:val="22"/>
              </w:rPr>
            </w:pPr>
            <w:r>
              <w:rPr>
                <w:b/>
                <w:sz w:val="22"/>
              </w:rPr>
              <w:t>5.42</w:t>
            </w:r>
          </w:p>
        </w:tc>
        <w:tc>
          <w:tcPr>
            <w:tcW w:w="710" w:type="pct"/>
            <w:vAlign w:val="center"/>
          </w:tcPr>
          <w:p w14:paraId="229A92AB" w14:textId="6A569573" w:rsidR="005F1A60" w:rsidRPr="005F1A60" w:rsidRDefault="005F1A60" w:rsidP="005F1A60">
            <w:pPr>
              <w:pStyle w:val="Table"/>
              <w:jc w:val="right"/>
              <w:rPr>
                <w:b/>
                <w:sz w:val="22"/>
              </w:rPr>
            </w:pPr>
            <w:r w:rsidRPr="00CA386D">
              <w:rPr>
                <w:rFonts w:ascii="Calibri" w:hAnsi="Calibri" w:cs="Calibri"/>
                <w:b/>
                <w:color w:val="000000"/>
                <w:sz w:val="22"/>
              </w:rPr>
              <w:t xml:space="preserve">       8.74 </w:t>
            </w:r>
          </w:p>
        </w:tc>
        <w:tc>
          <w:tcPr>
            <w:tcW w:w="740" w:type="pct"/>
            <w:vAlign w:val="center"/>
          </w:tcPr>
          <w:p w14:paraId="1EF95F53" w14:textId="16B04382" w:rsidR="005F1A60" w:rsidRPr="005F1A60" w:rsidRDefault="005F1A60" w:rsidP="005F1A60">
            <w:pPr>
              <w:pStyle w:val="Table"/>
              <w:jc w:val="right"/>
              <w:rPr>
                <w:b/>
                <w:sz w:val="22"/>
              </w:rPr>
            </w:pPr>
            <w:r w:rsidRPr="00CA386D">
              <w:rPr>
                <w:rFonts w:ascii="Calibri" w:hAnsi="Calibri" w:cs="Calibri"/>
                <w:b/>
                <w:color w:val="000000"/>
                <w:sz w:val="22"/>
              </w:rPr>
              <w:t xml:space="preserve">  9.08 </w:t>
            </w:r>
          </w:p>
        </w:tc>
      </w:tr>
      <w:tr w:rsidR="00AB7FC8" w:rsidRPr="00AB7FC8" w14:paraId="677BEB64" w14:textId="77777777" w:rsidTr="002643E0">
        <w:trPr>
          <w:trHeight w:val="365"/>
        </w:trPr>
        <w:tc>
          <w:tcPr>
            <w:tcW w:w="395" w:type="pct"/>
          </w:tcPr>
          <w:p w14:paraId="7C33827C" w14:textId="77777777" w:rsidR="00AB7FC8" w:rsidRPr="00AB7FC8" w:rsidRDefault="00AB7FC8" w:rsidP="00C652D0">
            <w:pPr>
              <w:pStyle w:val="Table"/>
              <w:numPr>
                <w:ilvl w:val="0"/>
                <w:numId w:val="3"/>
              </w:numPr>
              <w:ind w:hanging="686"/>
              <w:rPr>
                <w:b/>
                <w:sz w:val="22"/>
              </w:rPr>
            </w:pPr>
          </w:p>
        </w:tc>
        <w:tc>
          <w:tcPr>
            <w:tcW w:w="1735" w:type="pct"/>
          </w:tcPr>
          <w:p w14:paraId="5F21CC40" w14:textId="77777777" w:rsidR="00AB7FC8" w:rsidRPr="00AB7FC8" w:rsidRDefault="00AB7FC8" w:rsidP="00AB7FC8">
            <w:pPr>
              <w:pStyle w:val="Table"/>
              <w:rPr>
                <w:sz w:val="22"/>
              </w:rPr>
            </w:pPr>
            <w:r w:rsidRPr="00AB7FC8">
              <w:rPr>
                <w:sz w:val="22"/>
              </w:rPr>
              <w:t>Less: Non</w:t>
            </w:r>
            <w:r w:rsidR="00396ED5">
              <w:rPr>
                <w:sz w:val="22"/>
              </w:rPr>
              <w:t>-</w:t>
            </w:r>
            <w:r w:rsidRPr="00AB7FC8">
              <w:rPr>
                <w:sz w:val="22"/>
              </w:rPr>
              <w:t>Tariff Income</w:t>
            </w:r>
          </w:p>
        </w:tc>
        <w:tc>
          <w:tcPr>
            <w:tcW w:w="1420" w:type="pct"/>
            <w:vAlign w:val="center"/>
          </w:tcPr>
          <w:p w14:paraId="2EA5A12C" w14:textId="77777777" w:rsidR="00AB7FC8" w:rsidRPr="00AB7FC8" w:rsidRDefault="00AB7FC8" w:rsidP="00AB7FC8">
            <w:pPr>
              <w:pStyle w:val="Table"/>
              <w:jc w:val="right"/>
              <w:rPr>
                <w:sz w:val="22"/>
              </w:rPr>
            </w:pPr>
            <w:r w:rsidRPr="00AB7FC8">
              <w:rPr>
                <w:sz w:val="22"/>
              </w:rPr>
              <w:t>-</w:t>
            </w:r>
          </w:p>
        </w:tc>
        <w:tc>
          <w:tcPr>
            <w:tcW w:w="710" w:type="pct"/>
            <w:vAlign w:val="center"/>
          </w:tcPr>
          <w:p w14:paraId="2324DA5F" w14:textId="77777777" w:rsidR="00AB7FC8" w:rsidRPr="00AB7FC8" w:rsidRDefault="00AB7FC8" w:rsidP="005F1A60">
            <w:pPr>
              <w:pStyle w:val="Table"/>
              <w:jc w:val="right"/>
              <w:rPr>
                <w:b/>
                <w:sz w:val="22"/>
              </w:rPr>
            </w:pPr>
            <w:r w:rsidRPr="00AB7FC8">
              <w:rPr>
                <w:b/>
                <w:sz w:val="22"/>
              </w:rPr>
              <w:t>-</w:t>
            </w:r>
          </w:p>
        </w:tc>
        <w:tc>
          <w:tcPr>
            <w:tcW w:w="740" w:type="pct"/>
            <w:vAlign w:val="center"/>
          </w:tcPr>
          <w:p w14:paraId="57DA29A1" w14:textId="77777777" w:rsidR="00AB7FC8" w:rsidRPr="00AB7FC8" w:rsidRDefault="00AB7FC8" w:rsidP="005F1A60">
            <w:pPr>
              <w:pStyle w:val="Table"/>
              <w:jc w:val="right"/>
              <w:rPr>
                <w:b/>
                <w:sz w:val="22"/>
              </w:rPr>
            </w:pPr>
            <w:r w:rsidRPr="00AB7FC8">
              <w:rPr>
                <w:b/>
                <w:sz w:val="22"/>
              </w:rPr>
              <w:t>-</w:t>
            </w:r>
          </w:p>
        </w:tc>
      </w:tr>
      <w:tr w:rsidR="005F1A60" w:rsidRPr="00AB7FC8" w14:paraId="4B10F051" w14:textId="77777777" w:rsidTr="002643E0">
        <w:trPr>
          <w:trHeight w:val="382"/>
        </w:trPr>
        <w:tc>
          <w:tcPr>
            <w:tcW w:w="395" w:type="pct"/>
          </w:tcPr>
          <w:p w14:paraId="1802365E" w14:textId="77777777" w:rsidR="005F1A60" w:rsidRPr="00AB7FC8" w:rsidRDefault="005F1A60" w:rsidP="005F1A60">
            <w:pPr>
              <w:pStyle w:val="Table"/>
              <w:numPr>
                <w:ilvl w:val="0"/>
                <w:numId w:val="3"/>
              </w:numPr>
              <w:ind w:hanging="686"/>
              <w:rPr>
                <w:sz w:val="22"/>
              </w:rPr>
            </w:pPr>
          </w:p>
        </w:tc>
        <w:tc>
          <w:tcPr>
            <w:tcW w:w="1735" w:type="pct"/>
          </w:tcPr>
          <w:p w14:paraId="27EC823A" w14:textId="77777777" w:rsidR="005F1A60" w:rsidRPr="00AB7FC8" w:rsidRDefault="005F1A60" w:rsidP="005F1A60">
            <w:pPr>
              <w:pStyle w:val="Table"/>
              <w:rPr>
                <w:sz w:val="22"/>
              </w:rPr>
            </w:pPr>
            <w:r w:rsidRPr="00AB7FC8">
              <w:rPr>
                <w:b/>
                <w:sz w:val="22"/>
              </w:rPr>
              <w:t>Total Aggregate Revenue Requirement</w:t>
            </w:r>
            <w:r w:rsidRPr="00AB7FC8" w:rsidDel="00F24C33">
              <w:rPr>
                <w:b/>
                <w:sz w:val="22"/>
              </w:rPr>
              <w:t xml:space="preserve"> </w:t>
            </w:r>
          </w:p>
        </w:tc>
        <w:tc>
          <w:tcPr>
            <w:tcW w:w="1420" w:type="pct"/>
            <w:vAlign w:val="center"/>
          </w:tcPr>
          <w:p w14:paraId="374CA8E3" w14:textId="77777777" w:rsidR="005F1A60" w:rsidRPr="00AB7FC8" w:rsidRDefault="005F1A60" w:rsidP="005F1A60">
            <w:pPr>
              <w:pStyle w:val="Table"/>
              <w:jc w:val="right"/>
              <w:rPr>
                <w:b/>
                <w:sz w:val="22"/>
              </w:rPr>
            </w:pPr>
            <w:r>
              <w:rPr>
                <w:b/>
                <w:sz w:val="22"/>
              </w:rPr>
              <w:t>5.42</w:t>
            </w:r>
          </w:p>
        </w:tc>
        <w:tc>
          <w:tcPr>
            <w:tcW w:w="710" w:type="pct"/>
            <w:vAlign w:val="center"/>
          </w:tcPr>
          <w:p w14:paraId="12F7E0B0" w14:textId="031A86D5" w:rsidR="005F1A60" w:rsidRPr="005F1A60" w:rsidRDefault="005F1A60" w:rsidP="005F1A60">
            <w:pPr>
              <w:pStyle w:val="Table"/>
              <w:jc w:val="right"/>
              <w:rPr>
                <w:b/>
                <w:sz w:val="22"/>
              </w:rPr>
            </w:pPr>
            <w:r w:rsidRPr="00CA386D">
              <w:rPr>
                <w:rFonts w:ascii="Calibri" w:hAnsi="Calibri" w:cs="Calibri"/>
                <w:b/>
                <w:color w:val="000000"/>
                <w:sz w:val="22"/>
              </w:rPr>
              <w:t xml:space="preserve">     8.74 </w:t>
            </w:r>
          </w:p>
        </w:tc>
        <w:tc>
          <w:tcPr>
            <w:tcW w:w="740" w:type="pct"/>
            <w:vAlign w:val="center"/>
          </w:tcPr>
          <w:p w14:paraId="4A7379B5" w14:textId="2BB33A20" w:rsidR="005F1A60" w:rsidRPr="005F1A60" w:rsidRDefault="005F1A60" w:rsidP="005F1A60">
            <w:pPr>
              <w:pStyle w:val="Table"/>
              <w:jc w:val="right"/>
              <w:rPr>
                <w:b/>
                <w:sz w:val="22"/>
              </w:rPr>
            </w:pPr>
            <w:r w:rsidRPr="00CA386D">
              <w:rPr>
                <w:rFonts w:ascii="Calibri" w:hAnsi="Calibri" w:cs="Calibri"/>
                <w:b/>
                <w:color w:val="000000"/>
                <w:sz w:val="22"/>
              </w:rPr>
              <w:t xml:space="preserve">         9.08 </w:t>
            </w:r>
          </w:p>
        </w:tc>
      </w:tr>
    </w:tbl>
    <w:p w14:paraId="63E02BEA" w14:textId="77777777" w:rsidR="00CB42FA" w:rsidRDefault="00CB42FA" w:rsidP="00CB42FA"/>
    <w:p w14:paraId="2A019DB4" w14:textId="77777777" w:rsidR="003D73C2" w:rsidRDefault="002F1AF5" w:rsidP="00CB42FA">
      <w:r>
        <w:t>The Petitioner</w:t>
      </w:r>
      <w:r w:rsidR="00CB42FA">
        <w:t xml:space="preserve"> requests the Hon'ble Commission to approve </w:t>
      </w:r>
      <w:r w:rsidR="00396ED5">
        <w:t xml:space="preserve">revised </w:t>
      </w:r>
      <w:proofErr w:type="spellStart"/>
      <w:r w:rsidR="00396ED5">
        <w:t>ARR</w:t>
      </w:r>
      <w:proofErr w:type="spellEnd"/>
      <w:r w:rsidR="00396ED5">
        <w:t xml:space="preserve"> for FY 2017-18 and </w:t>
      </w:r>
      <w:r w:rsidR="00CB42FA">
        <w:t xml:space="preserve">the projected </w:t>
      </w:r>
      <w:proofErr w:type="spellStart"/>
      <w:r w:rsidR="00CB42FA">
        <w:t>ARR</w:t>
      </w:r>
      <w:proofErr w:type="spellEnd"/>
      <w:r w:rsidR="00CB42FA">
        <w:t xml:space="preserve"> </w:t>
      </w:r>
      <w:r w:rsidR="00396ED5">
        <w:t>for FY 2018-19</w:t>
      </w:r>
      <w:r w:rsidR="0022223E">
        <w:t xml:space="preserve"> as in the above Table</w:t>
      </w:r>
      <w:r w:rsidR="00CB42FA">
        <w:t>.</w:t>
      </w:r>
      <w:r w:rsidR="00F03C39">
        <w:t xml:space="preserve"> </w:t>
      </w:r>
    </w:p>
    <w:p w14:paraId="030D8E2B" w14:textId="77777777" w:rsidR="00FC3260" w:rsidRDefault="00FC3260" w:rsidP="00CB42FA"/>
    <w:p w14:paraId="0CED258F" w14:textId="3CBB9345" w:rsidR="00682399" w:rsidRDefault="00682399" w:rsidP="00CB42FA">
      <w:r>
        <w:t xml:space="preserve">The Commission adopted Methodology for recovery of </w:t>
      </w:r>
      <w:proofErr w:type="spellStart"/>
      <w:r>
        <w:t>SLDC</w:t>
      </w:r>
      <w:proofErr w:type="spellEnd"/>
      <w:r>
        <w:t xml:space="preserve"> </w:t>
      </w:r>
      <w:proofErr w:type="spellStart"/>
      <w:r>
        <w:t>ARR</w:t>
      </w:r>
      <w:proofErr w:type="spellEnd"/>
      <w:r>
        <w:t xml:space="preserve"> in Tariff Order for FY 2017-18 dated 9 March, 2017 is reproduced below:</w:t>
      </w:r>
    </w:p>
    <w:p w14:paraId="0777CED2" w14:textId="77777777" w:rsidR="00682399" w:rsidRDefault="00682399" w:rsidP="00CB42FA"/>
    <w:p w14:paraId="341B2C27" w14:textId="1D5C939F" w:rsidR="00682399" w:rsidRPr="00CA386D" w:rsidRDefault="00682399" w:rsidP="00682399">
      <w:pPr>
        <w:rPr>
          <w:i/>
        </w:rPr>
      </w:pPr>
      <w:r w:rsidRPr="00CA386D">
        <w:rPr>
          <w:i/>
        </w:rPr>
        <w:t xml:space="preserve">“The Commission has approved the </w:t>
      </w:r>
      <w:proofErr w:type="spellStart"/>
      <w:r w:rsidRPr="00CA386D">
        <w:rPr>
          <w:i/>
        </w:rPr>
        <w:t>ARR</w:t>
      </w:r>
      <w:proofErr w:type="spellEnd"/>
      <w:r w:rsidRPr="00CA386D">
        <w:rPr>
          <w:i/>
        </w:rPr>
        <w:t xml:space="preserve"> of </w:t>
      </w:r>
      <w:proofErr w:type="spellStart"/>
      <w:r w:rsidRPr="00CA386D">
        <w:rPr>
          <w:i/>
        </w:rPr>
        <w:t>Rs.5.42</w:t>
      </w:r>
      <w:proofErr w:type="spellEnd"/>
      <w:r w:rsidRPr="00CA386D">
        <w:rPr>
          <w:i/>
        </w:rPr>
        <w:t xml:space="preserve"> </w:t>
      </w:r>
      <w:proofErr w:type="spellStart"/>
      <w:r w:rsidRPr="00CA386D">
        <w:rPr>
          <w:i/>
        </w:rPr>
        <w:t>Crore</w:t>
      </w:r>
      <w:proofErr w:type="spellEnd"/>
      <w:r w:rsidRPr="00CA386D">
        <w:rPr>
          <w:i/>
        </w:rPr>
        <w:t xml:space="preserve"> for </w:t>
      </w:r>
      <w:proofErr w:type="spellStart"/>
      <w:r w:rsidRPr="00CA386D">
        <w:rPr>
          <w:i/>
        </w:rPr>
        <w:t>SLDC</w:t>
      </w:r>
      <w:proofErr w:type="spellEnd"/>
      <w:r w:rsidRPr="00CA386D">
        <w:rPr>
          <w:i/>
        </w:rPr>
        <w:t xml:space="preserve"> business for FY 2017-18. </w:t>
      </w:r>
      <w:proofErr w:type="spellStart"/>
      <w:r w:rsidRPr="00CA386D">
        <w:rPr>
          <w:i/>
        </w:rPr>
        <w:t>SLDC</w:t>
      </w:r>
      <w:proofErr w:type="spellEnd"/>
      <w:r w:rsidRPr="00CA386D">
        <w:rPr>
          <w:i/>
        </w:rPr>
        <w:t xml:space="preserve"> operating charges have to be collected from all the users based on their contracted capacity (MW). Distribution companies being the last mile company in value chain of power sector, ultimately it is the distribution </w:t>
      </w:r>
      <w:proofErr w:type="gramStart"/>
      <w:r w:rsidRPr="00CA386D">
        <w:rPr>
          <w:i/>
        </w:rPr>
        <w:t>companies which has</w:t>
      </w:r>
      <w:proofErr w:type="gramEnd"/>
      <w:r w:rsidRPr="00CA386D">
        <w:rPr>
          <w:i/>
        </w:rPr>
        <w:t xml:space="preserve"> to pay such </w:t>
      </w:r>
      <w:proofErr w:type="spellStart"/>
      <w:r w:rsidRPr="00CA386D">
        <w:rPr>
          <w:i/>
        </w:rPr>
        <w:t>ARR</w:t>
      </w:r>
      <w:proofErr w:type="spellEnd"/>
      <w:r w:rsidRPr="00CA386D">
        <w:rPr>
          <w:i/>
        </w:rPr>
        <w:t xml:space="preserve"> of </w:t>
      </w:r>
      <w:proofErr w:type="spellStart"/>
      <w:r w:rsidRPr="00CA386D">
        <w:rPr>
          <w:i/>
        </w:rPr>
        <w:t>SLDC</w:t>
      </w:r>
      <w:proofErr w:type="spellEnd"/>
      <w:r w:rsidRPr="00CA386D">
        <w:rPr>
          <w:i/>
        </w:rPr>
        <w:t xml:space="preserve">. Hence to simplify the process of collecting the </w:t>
      </w:r>
      <w:proofErr w:type="spellStart"/>
      <w:r w:rsidRPr="00CA386D">
        <w:rPr>
          <w:i/>
        </w:rPr>
        <w:t>SLDC</w:t>
      </w:r>
      <w:proofErr w:type="spellEnd"/>
      <w:r w:rsidRPr="00CA386D">
        <w:rPr>
          <w:i/>
        </w:rPr>
        <w:t xml:space="preserve"> charges, the Commission directs the </w:t>
      </w:r>
      <w:proofErr w:type="spellStart"/>
      <w:r w:rsidRPr="00CA386D">
        <w:rPr>
          <w:i/>
        </w:rPr>
        <w:t>SLDC</w:t>
      </w:r>
      <w:proofErr w:type="spellEnd"/>
      <w:r w:rsidRPr="00CA386D">
        <w:rPr>
          <w:i/>
        </w:rPr>
        <w:t>/</w:t>
      </w:r>
      <w:proofErr w:type="spellStart"/>
      <w:r w:rsidRPr="00CA386D">
        <w:rPr>
          <w:i/>
        </w:rPr>
        <w:t>BSPTCL</w:t>
      </w:r>
      <w:proofErr w:type="spellEnd"/>
      <w:r w:rsidRPr="00CA386D">
        <w:rPr>
          <w:i/>
        </w:rPr>
        <w:t xml:space="preserve"> to bill these charges on monthly basis to the distribution companies i.e. </w:t>
      </w:r>
      <w:proofErr w:type="spellStart"/>
      <w:r w:rsidRPr="00CA386D">
        <w:rPr>
          <w:i/>
        </w:rPr>
        <w:t>NBPDCL</w:t>
      </w:r>
      <w:proofErr w:type="spellEnd"/>
      <w:r w:rsidRPr="00CA386D">
        <w:rPr>
          <w:i/>
        </w:rPr>
        <w:t xml:space="preserve"> and </w:t>
      </w:r>
      <w:proofErr w:type="spellStart"/>
      <w:r w:rsidRPr="00CA386D">
        <w:rPr>
          <w:i/>
        </w:rPr>
        <w:t>SBPDCL</w:t>
      </w:r>
      <w:proofErr w:type="spellEnd"/>
      <w:r w:rsidRPr="00CA386D">
        <w:rPr>
          <w:i/>
        </w:rPr>
        <w:t xml:space="preserve"> in their power sharing ratio.”</w:t>
      </w:r>
    </w:p>
    <w:p w14:paraId="1B0BD93C" w14:textId="29EE4008" w:rsidR="003D73C2" w:rsidRDefault="00682399" w:rsidP="00CB42FA">
      <w:r>
        <w:t xml:space="preserve"> </w:t>
      </w:r>
    </w:p>
    <w:p w14:paraId="30999A48" w14:textId="7682D70E" w:rsidR="00CB42FA" w:rsidRDefault="00FC3260" w:rsidP="003D73C2">
      <w:r>
        <w:t>T</w:t>
      </w:r>
      <w:r w:rsidR="00F03C39">
        <w:t xml:space="preserve">he Petitioner proposed to recover </w:t>
      </w:r>
      <w:proofErr w:type="spellStart"/>
      <w:r w:rsidR="00F03C39">
        <w:t>ARR</w:t>
      </w:r>
      <w:proofErr w:type="spellEnd"/>
      <w:r w:rsidR="00F03C39">
        <w:t xml:space="preserve"> for FY 2018-19 </w:t>
      </w:r>
      <w:r w:rsidR="003D73C2" w:rsidRPr="003D73C2">
        <w:t xml:space="preserve">on monthly basis to the distribution companies i.e. </w:t>
      </w:r>
      <w:proofErr w:type="spellStart"/>
      <w:r w:rsidR="003D73C2" w:rsidRPr="003D73C2">
        <w:t>NBPDCL</w:t>
      </w:r>
      <w:proofErr w:type="spellEnd"/>
      <w:r w:rsidR="003D73C2" w:rsidRPr="003D73C2">
        <w:t xml:space="preserve"> and </w:t>
      </w:r>
      <w:proofErr w:type="spellStart"/>
      <w:r w:rsidR="003D73C2" w:rsidRPr="003D73C2">
        <w:t>SBPDCL</w:t>
      </w:r>
      <w:proofErr w:type="spellEnd"/>
      <w:r w:rsidR="003D73C2" w:rsidRPr="003D73C2">
        <w:t xml:space="preserve"> in their power sharing ratio</w:t>
      </w:r>
      <w:r>
        <w:t xml:space="preserve"> based on the </w:t>
      </w:r>
      <w:r w:rsidR="00C22491">
        <w:t>same methodology reproduced above</w:t>
      </w:r>
      <w:r w:rsidR="003D73C2" w:rsidRPr="003D73C2">
        <w:t>.</w:t>
      </w:r>
    </w:p>
    <w:p w14:paraId="0FC07A93" w14:textId="77777777" w:rsidR="00605C36" w:rsidRDefault="00605C36">
      <w:pPr>
        <w:spacing w:after="200" w:line="276" w:lineRule="auto"/>
        <w:jc w:val="left"/>
      </w:pPr>
      <w:r>
        <w:br w:type="page"/>
      </w:r>
    </w:p>
    <w:p w14:paraId="2F87251D" w14:textId="77777777" w:rsidR="006C3CA0" w:rsidRDefault="006C3CA0" w:rsidP="006C3CA0">
      <w:pPr>
        <w:pStyle w:val="Heading1"/>
      </w:pPr>
      <w:bookmarkStart w:id="35" w:name="_Toc468247919"/>
      <w:bookmarkStart w:id="36" w:name="_Toc498423465"/>
      <w:r>
        <w:lastRenderedPageBreak/>
        <w:t>Compliance of Directives</w:t>
      </w:r>
      <w:bookmarkEnd w:id="35"/>
      <w:bookmarkEnd w:id="36"/>
    </w:p>
    <w:p w14:paraId="6EA7A552" w14:textId="77777777" w:rsidR="006C3CA0" w:rsidRPr="00AB3A13" w:rsidRDefault="006C3CA0" w:rsidP="006C3CA0">
      <w:pPr>
        <w:pStyle w:val="Heading2"/>
        <w:rPr>
          <w:sz w:val="24"/>
          <w:szCs w:val="24"/>
        </w:rPr>
      </w:pPr>
      <w:bookmarkStart w:id="37" w:name="_Toc468247920"/>
      <w:bookmarkStart w:id="38" w:name="_Toc498423466"/>
      <w:bookmarkStart w:id="39" w:name="_Toc440633438"/>
      <w:r w:rsidRPr="00AB3A13">
        <w:rPr>
          <w:sz w:val="24"/>
          <w:szCs w:val="24"/>
        </w:rPr>
        <w:t>Directive 1</w:t>
      </w:r>
      <w:bookmarkEnd w:id="37"/>
      <w:r w:rsidRPr="00AB3A13">
        <w:rPr>
          <w:sz w:val="24"/>
          <w:szCs w:val="24"/>
        </w:rPr>
        <w:t xml:space="preserve">: Autonomy of </w:t>
      </w:r>
      <w:proofErr w:type="spellStart"/>
      <w:r w:rsidRPr="00AB3A13">
        <w:rPr>
          <w:sz w:val="24"/>
          <w:szCs w:val="24"/>
        </w:rPr>
        <w:t>SLDC</w:t>
      </w:r>
      <w:bookmarkEnd w:id="38"/>
      <w:proofErr w:type="spellEnd"/>
    </w:p>
    <w:p w14:paraId="307E2830" w14:textId="77777777" w:rsidR="006C3CA0" w:rsidRPr="00AB3A13" w:rsidRDefault="006C3CA0" w:rsidP="006C3CA0">
      <w:pPr>
        <w:autoSpaceDE w:val="0"/>
        <w:autoSpaceDN w:val="0"/>
        <w:adjustRightInd w:val="0"/>
        <w:spacing w:line="240" w:lineRule="auto"/>
        <w:rPr>
          <w:rFonts w:cs="Calibri"/>
          <w:i/>
          <w:szCs w:val="24"/>
          <w:lang w:val="en-GB"/>
        </w:rPr>
      </w:pPr>
      <w:r w:rsidRPr="00AB3A13">
        <w:rPr>
          <w:rFonts w:cs="Calibri"/>
          <w:i/>
          <w:szCs w:val="24"/>
          <w:lang w:val="en-GB"/>
        </w:rPr>
        <w:t>Section 31 of the Electricity Act, 2003 mandates constitution of State Load Despatch</w:t>
      </w:r>
      <w:r>
        <w:rPr>
          <w:rFonts w:cs="Calibri"/>
          <w:i/>
          <w:szCs w:val="24"/>
          <w:lang w:val="en-GB"/>
        </w:rPr>
        <w:t xml:space="preserve"> </w:t>
      </w:r>
      <w:r w:rsidRPr="00AB3A13">
        <w:rPr>
          <w:rFonts w:cs="Calibri"/>
          <w:i/>
          <w:szCs w:val="24"/>
          <w:lang w:val="en-GB"/>
        </w:rPr>
        <w:t>Centre as a separate entity. However, till such separate entity is notified, the State</w:t>
      </w:r>
      <w:r>
        <w:rPr>
          <w:rFonts w:cs="Calibri"/>
          <w:i/>
          <w:szCs w:val="24"/>
          <w:lang w:val="en-GB"/>
        </w:rPr>
        <w:t xml:space="preserve"> </w:t>
      </w:r>
      <w:r w:rsidRPr="00AB3A13">
        <w:rPr>
          <w:rFonts w:cs="Calibri"/>
          <w:i/>
          <w:szCs w:val="24"/>
          <w:lang w:val="en-GB"/>
        </w:rPr>
        <w:t xml:space="preserve">Transmission utility should operate the </w:t>
      </w:r>
      <w:proofErr w:type="spellStart"/>
      <w:r w:rsidRPr="00AB3A13">
        <w:rPr>
          <w:rFonts w:cs="Calibri"/>
          <w:i/>
          <w:szCs w:val="24"/>
          <w:lang w:val="en-GB"/>
        </w:rPr>
        <w:t>SLDC</w:t>
      </w:r>
      <w:proofErr w:type="spellEnd"/>
      <w:r w:rsidRPr="00AB3A13">
        <w:rPr>
          <w:rFonts w:cs="Calibri"/>
          <w:i/>
          <w:szCs w:val="24"/>
          <w:lang w:val="en-GB"/>
        </w:rPr>
        <w:t>.</w:t>
      </w:r>
    </w:p>
    <w:p w14:paraId="72D87467" w14:textId="77777777" w:rsidR="006C3CA0" w:rsidRPr="00AB3A13" w:rsidRDefault="006C3CA0" w:rsidP="006C3CA0">
      <w:pPr>
        <w:autoSpaceDE w:val="0"/>
        <w:autoSpaceDN w:val="0"/>
        <w:adjustRightInd w:val="0"/>
        <w:spacing w:line="240" w:lineRule="auto"/>
        <w:rPr>
          <w:rFonts w:cs="Calibri"/>
          <w:i/>
          <w:szCs w:val="24"/>
          <w:lang w:val="en-GB"/>
        </w:rPr>
      </w:pPr>
    </w:p>
    <w:p w14:paraId="74F691BF" w14:textId="77777777" w:rsidR="006C3CA0" w:rsidRPr="00AB3A13" w:rsidRDefault="006C3CA0" w:rsidP="006C3CA0">
      <w:pPr>
        <w:autoSpaceDE w:val="0"/>
        <w:autoSpaceDN w:val="0"/>
        <w:adjustRightInd w:val="0"/>
        <w:spacing w:line="240" w:lineRule="auto"/>
        <w:rPr>
          <w:rFonts w:cs="Calibri,Bold"/>
          <w:b/>
          <w:bCs/>
          <w:i/>
          <w:szCs w:val="24"/>
          <w:lang w:val="en-GB"/>
        </w:rPr>
      </w:pPr>
      <w:r w:rsidRPr="00AB3A13">
        <w:rPr>
          <w:rFonts w:cs="Calibri,Bold"/>
          <w:b/>
          <w:bCs/>
          <w:i/>
          <w:szCs w:val="24"/>
          <w:lang w:val="en-GB"/>
        </w:rPr>
        <w:t xml:space="preserve">Keeping in view the various functions envisaged for the </w:t>
      </w:r>
      <w:proofErr w:type="spellStart"/>
      <w:r w:rsidRPr="00AB3A13">
        <w:rPr>
          <w:rFonts w:cs="Calibri,Bold"/>
          <w:b/>
          <w:bCs/>
          <w:i/>
          <w:szCs w:val="24"/>
          <w:lang w:val="en-GB"/>
        </w:rPr>
        <w:t>SLDC</w:t>
      </w:r>
      <w:proofErr w:type="spellEnd"/>
      <w:r w:rsidRPr="00AB3A13">
        <w:rPr>
          <w:rFonts w:cs="Calibri,Bold"/>
          <w:b/>
          <w:bCs/>
          <w:i/>
          <w:szCs w:val="24"/>
          <w:lang w:val="en-GB"/>
        </w:rPr>
        <w:t xml:space="preserve"> under Section 32 of the Act, and also having regard to increasing electricity business in the State, as well as in the interest of successful implementation of various electricity reform measures, the Commission has been emphasizing the need to setup an independent </w:t>
      </w:r>
      <w:proofErr w:type="spellStart"/>
      <w:r w:rsidRPr="00AB3A13">
        <w:rPr>
          <w:rFonts w:cs="Calibri,Bold"/>
          <w:b/>
          <w:bCs/>
          <w:i/>
          <w:szCs w:val="24"/>
          <w:lang w:val="en-GB"/>
        </w:rPr>
        <w:t>SLDC</w:t>
      </w:r>
      <w:proofErr w:type="spellEnd"/>
      <w:r w:rsidRPr="00AB3A13">
        <w:rPr>
          <w:rFonts w:cs="Calibri,Bold"/>
          <w:b/>
          <w:bCs/>
          <w:i/>
          <w:szCs w:val="24"/>
          <w:lang w:val="en-GB"/>
        </w:rPr>
        <w:t xml:space="preserve"> entity in the State. However, till such time comes, the </w:t>
      </w:r>
      <w:proofErr w:type="spellStart"/>
      <w:r w:rsidRPr="00AB3A13">
        <w:rPr>
          <w:rFonts w:cs="Calibri,Bold"/>
          <w:b/>
          <w:bCs/>
          <w:i/>
          <w:szCs w:val="24"/>
          <w:lang w:val="en-GB"/>
        </w:rPr>
        <w:t>SLDC</w:t>
      </w:r>
      <w:proofErr w:type="spellEnd"/>
      <w:r w:rsidRPr="00AB3A13">
        <w:rPr>
          <w:rFonts w:cs="Calibri,Bold"/>
          <w:b/>
          <w:bCs/>
          <w:i/>
          <w:szCs w:val="24"/>
          <w:lang w:val="en-GB"/>
        </w:rPr>
        <w:t xml:space="preserve"> be strengthened in order to enable it to discharge its statuary functions effectively.</w:t>
      </w:r>
    </w:p>
    <w:p w14:paraId="32422FD1" w14:textId="77777777" w:rsidR="006C3CA0" w:rsidRPr="00AB3A13" w:rsidRDefault="006C3CA0" w:rsidP="006C3CA0">
      <w:pPr>
        <w:autoSpaceDE w:val="0"/>
        <w:autoSpaceDN w:val="0"/>
        <w:adjustRightInd w:val="0"/>
        <w:spacing w:line="240" w:lineRule="auto"/>
        <w:rPr>
          <w:rFonts w:cs="Calibri,Bold"/>
          <w:b/>
          <w:bCs/>
          <w:i/>
          <w:szCs w:val="24"/>
          <w:lang w:val="en-GB"/>
        </w:rPr>
      </w:pPr>
    </w:p>
    <w:p w14:paraId="30314044" w14:textId="77777777" w:rsidR="006C3CA0" w:rsidRPr="00AB3A13" w:rsidRDefault="006C3CA0" w:rsidP="006C3CA0">
      <w:pPr>
        <w:autoSpaceDE w:val="0"/>
        <w:autoSpaceDN w:val="0"/>
        <w:adjustRightInd w:val="0"/>
        <w:spacing w:line="240" w:lineRule="auto"/>
        <w:rPr>
          <w:rFonts w:cs="Calibri,Bold"/>
          <w:b/>
          <w:bCs/>
          <w:i/>
          <w:szCs w:val="24"/>
          <w:lang w:val="en-GB"/>
        </w:rPr>
      </w:pPr>
      <w:r w:rsidRPr="00AB3A13">
        <w:rPr>
          <w:rFonts w:cs="Calibri,Bold"/>
          <w:b/>
          <w:bCs/>
          <w:i/>
          <w:szCs w:val="24"/>
          <w:lang w:val="en-GB"/>
        </w:rPr>
        <w:t xml:space="preserve">The Commission also directs </w:t>
      </w:r>
      <w:proofErr w:type="spellStart"/>
      <w:r w:rsidRPr="00AB3A13">
        <w:rPr>
          <w:rFonts w:cs="Calibri,Bold"/>
          <w:b/>
          <w:bCs/>
          <w:i/>
          <w:szCs w:val="24"/>
          <w:lang w:val="en-GB"/>
        </w:rPr>
        <w:t>BSPTCL</w:t>
      </w:r>
      <w:proofErr w:type="spellEnd"/>
      <w:r w:rsidRPr="00AB3A13">
        <w:rPr>
          <w:rFonts w:cs="Calibri,Bold"/>
          <w:b/>
          <w:bCs/>
          <w:i/>
          <w:szCs w:val="24"/>
          <w:lang w:val="en-GB"/>
        </w:rPr>
        <w:t xml:space="preserve"> to segregate the assets and liabilities from</w:t>
      </w:r>
      <w:r>
        <w:rPr>
          <w:rFonts w:cs="Calibri,Bold"/>
          <w:b/>
          <w:bCs/>
          <w:i/>
          <w:szCs w:val="24"/>
          <w:lang w:val="en-GB"/>
        </w:rPr>
        <w:t xml:space="preserve"> </w:t>
      </w:r>
      <w:proofErr w:type="spellStart"/>
      <w:r w:rsidRPr="00AB3A13">
        <w:rPr>
          <w:rFonts w:cs="Calibri,Bold"/>
          <w:b/>
          <w:bCs/>
          <w:i/>
          <w:szCs w:val="24"/>
          <w:lang w:val="en-GB"/>
        </w:rPr>
        <w:t>BSPTCL</w:t>
      </w:r>
      <w:proofErr w:type="spellEnd"/>
      <w:r w:rsidRPr="00AB3A13">
        <w:rPr>
          <w:rFonts w:cs="Calibri,Bold"/>
          <w:b/>
          <w:bCs/>
          <w:i/>
          <w:szCs w:val="24"/>
          <w:lang w:val="en-GB"/>
        </w:rPr>
        <w:t xml:space="preserve"> and direct </w:t>
      </w:r>
      <w:proofErr w:type="spellStart"/>
      <w:r w:rsidRPr="00AB3A13">
        <w:rPr>
          <w:rFonts w:cs="Calibri,Bold"/>
          <w:b/>
          <w:bCs/>
          <w:i/>
          <w:szCs w:val="24"/>
          <w:lang w:val="en-GB"/>
        </w:rPr>
        <w:t>SLDC</w:t>
      </w:r>
      <w:proofErr w:type="spellEnd"/>
      <w:r w:rsidRPr="00AB3A13">
        <w:rPr>
          <w:rFonts w:cs="Calibri,Bold"/>
          <w:b/>
          <w:bCs/>
          <w:i/>
          <w:szCs w:val="24"/>
          <w:lang w:val="en-GB"/>
        </w:rPr>
        <w:t xml:space="preserve"> to maintain separate accounts of the revenue and</w:t>
      </w:r>
      <w:r>
        <w:rPr>
          <w:rFonts w:cs="Calibri,Bold"/>
          <w:b/>
          <w:bCs/>
          <w:i/>
          <w:szCs w:val="24"/>
          <w:lang w:val="en-GB"/>
        </w:rPr>
        <w:t xml:space="preserve"> </w:t>
      </w:r>
      <w:r w:rsidRPr="00AB3A13">
        <w:rPr>
          <w:rFonts w:cs="Calibri,Bold"/>
          <w:b/>
          <w:bCs/>
          <w:i/>
          <w:szCs w:val="24"/>
          <w:lang w:val="en-GB"/>
        </w:rPr>
        <w:t xml:space="preserve">expenditure relating to </w:t>
      </w:r>
      <w:proofErr w:type="spellStart"/>
      <w:r w:rsidRPr="00AB3A13">
        <w:rPr>
          <w:rFonts w:cs="Calibri,Bold"/>
          <w:b/>
          <w:bCs/>
          <w:i/>
          <w:szCs w:val="24"/>
          <w:lang w:val="en-GB"/>
        </w:rPr>
        <w:t>SLDC</w:t>
      </w:r>
      <w:proofErr w:type="spellEnd"/>
      <w:r w:rsidRPr="00AB3A13">
        <w:rPr>
          <w:rFonts w:cs="Calibri,Bold"/>
          <w:b/>
          <w:bCs/>
          <w:i/>
          <w:szCs w:val="24"/>
          <w:lang w:val="en-GB"/>
        </w:rPr>
        <w:t xml:space="preserve"> business.</w:t>
      </w:r>
    </w:p>
    <w:p w14:paraId="6C7B3449" w14:textId="77777777" w:rsidR="006C3CA0" w:rsidRDefault="006C3CA0" w:rsidP="006C3CA0">
      <w:pPr>
        <w:spacing w:after="200" w:line="276" w:lineRule="auto"/>
        <w:rPr>
          <w:rFonts w:cs="Calibri,Bold"/>
          <w:b/>
          <w:bCs/>
          <w:szCs w:val="24"/>
          <w:lang w:val="en-GB"/>
        </w:rPr>
      </w:pPr>
    </w:p>
    <w:p w14:paraId="4D91CE94" w14:textId="77777777" w:rsidR="006C3CA0" w:rsidRDefault="006C3CA0" w:rsidP="006C3CA0">
      <w:pPr>
        <w:spacing w:after="200" w:line="276" w:lineRule="auto"/>
        <w:rPr>
          <w:rFonts w:cs="Calibri,Bold"/>
          <w:b/>
          <w:bCs/>
          <w:szCs w:val="24"/>
          <w:lang w:val="en-GB"/>
        </w:rPr>
      </w:pPr>
      <w:r w:rsidRPr="00AB3A13">
        <w:rPr>
          <w:rFonts w:cs="Calibri,Bold"/>
          <w:b/>
          <w:bCs/>
          <w:szCs w:val="24"/>
          <w:lang w:val="en-GB"/>
        </w:rPr>
        <w:t xml:space="preserve">Compliance: </w:t>
      </w:r>
    </w:p>
    <w:p w14:paraId="6DAED98E" w14:textId="77777777" w:rsidR="006C3CA0" w:rsidRPr="00F46BE1" w:rsidRDefault="006C3CA0" w:rsidP="006C3CA0">
      <w:pPr>
        <w:spacing w:after="200" w:line="276" w:lineRule="auto"/>
        <w:rPr>
          <w:rFonts w:cs="Calibri,Bold"/>
          <w:b/>
          <w:bCs/>
          <w:szCs w:val="24"/>
          <w:lang w:val="en-GB"/>
        </w:rPr>
      </w:pPr>
      <w:r w:rsidRPr="00F46BE1">
        <w:rPr>
          <w:szCs w:val="24"/>
        </w:rPr>
        <w:t xml:space="preserve">Separate </w:t>
      </w:r>
      <w:proofErr w:type="spellStart"/>
      <w:r>
        <w:rPr>
          <w:szCs w:val="24"/>
        </w:rPr>
        <w:t>ARR</w:t>
      </w:r>
      <w:proofErr w:type="spellEnd"/>
      <w:r>
        <w:rPr>
          <w:szCs w:val="24"/>
        </w:rPr>
        <w:t xml:space="preserve"> for </w:t>
      </w:r>
      <w:proofErr w:type="spellStart"/>
      <w:r>
        <w:rPr>
          <w:szCs w:val="24"/>
        </w:rPr>
        <w:t>SLDC</w:t>
      </w:r>
      <w:proofErr w:type="spellEnd"/>
      <w:r>
        <w:rPr>
          <w:szCs w:val="24"/>
        </w:rPr>
        <w:t xml:space="preserve"> is being filed from </w:t>
      </w:r>
      <w:r w:rsidRPr="00F46BE1">
        <w:rPr>
          <w:szCs w:val="24"/>
        </w:rPr>
        <w:t>FY 2017-</w:t>
      </w:r>
      <w:r>
        <w:rPr>
          <w:szCs w:val="24"/>
        </w:rPr>
        <w:t xml:space="preserve">18 and </w:t>
      </w:r>
      <w:r w:rsidRPr="00F46BE1">
        <w:rPr>
          <w:szCs w:val="24"/>
        </w:rPr>
        <w:t xml:space="preserve">onwards and </w:t>
      </w:r>
      <w:proofErr w:type="gramStart"/>
      <w:r w:rsidRPr="00F46BE1">
        <w:rPr>
          <w:rFonts w:cs="Calibri,Bold"/>
          <w:szCs w:val="24"/>
        </w:rPr>
        <w:t xml:space="preserve">separate accounts for the revenue of </w:t>
      </w:r>
      <w:proofErr w:type="spellStart"/>
      <w:r w:rsidRPr="00F46BE1">
        <w:rPr>
          <w:rFonts w:cs="Calibri,Bold"/>
          <w:szCs w:val="24"/>
        </w:rPr>
        <w:t>SLDC</w:t>
      </w:r>
      <w:proofErr w:type="spellEnd"/>
      <w:r w:rsidRPr="00F46BE1">
        <w:rPr>
          <w:rFonts w:cs="Calibri,Bold"/>
          <w:szCs w:val="24"/>
        </w:rPr>
        <w:t xml:space="preserve"> is</w:t>
      </w:r>
      <w:proofErr w:type="gramEnd"/>
      <w:r w:rsidRPr="00F46BE1">
        <w:rPr>
          <w:rFonts w:cs="Calibri,Bold"/>
          <w:szCs w:val="24"/>
        </w:rPr>
        <w:t xml:space="preserve"> also being maintained. </w:t>
      </w:r>
      <w:r w:rsidRPr="00F46BE1">
        <w:rPr>
          <w:rFonts w:cs="Times New Roman"/>
          <w:szCs w:val="24"/>
        </w:rPr>
        <w:t xml:space="preserve">Presently, separate Bank Account relating to </w:t>
      </w:r>
      <w:proofErr w:type="spellStart"/>
      <w:r w:rsidRPr="00F46BE1">
        <w:rPr>
          <w:rFonts w:cs="Times New Roman"/>
          <w:szCs w:val="24"/>
        </w:rPr>
        <w:t>SLDC</w:t>
      </w:r>
      <w:proofErr w:type="spellEnd"/>
      <w:r w:rsidRPr="00F46BE1">
        <w:rPr>
          <w:rFonts w:cs="Times New Roman"/>
          <w:szCs w:val="24"/>
        </w:rPr>
        <w:t xml:space="preserve"> bearing no. 8531101011788 i</w:t>
      </w:r>
      <w:r>
        <w:rPr>
          <w:rFonts w:cs="Times New Roman"/>
          <w:szCs w:val="24"/>
        </w:rPr>
        <w:t>s being maintained for Revenue e</w:t>
      </w:r>
      <w:r w:rsidRPr="00F46BE1">
        <w:rPr>
          <w:rFonts w:cs="Times New Roman"/>
          <w:szCs w:val="24"/>
        </w:rPr>
        <w:t xml:space="preserve">xpenditure relating to it. </w:t>
      </w:r>
      <w:r w:rsidRPr="00F46BE1">
        <w:rPr>
          <w:rFonts w:cs="Calibri,Bold"/>
          <w:szCs w:val="24"/>
        </w:rPr>
        <w:t>However, to make it a totally independent entity, notification from the state government has to be issued.</w:t>
      </w:r>
      <w:r w:rsidRPr="00F46BE1">
        <w:rPr>
          <w:szCs w:val="24"/>
        </w:rPr>
        <w:t xml:space="preserve"> </w:t>
      </w:r>
      <w:proofErr w:type="spellStart"/>
      <w:r w:rsidRPr="00F46BE1">
        <w:rPr>
          <w:szCs w:val="24"/>
        </w:rPr>
        <w:t>BSPTCL</w:t>
      </w:r>
      <w:proofErr w:type="spellEnd"/>
      <w:r w:rsidRPr="00F46BE1">
        <w:rPr>
          <w:szCs w:val="24"/>
        </w:rPr>
        <w:t xml:space="preserve"> is in process to make </w:t>
      </w:r>
      <w:proofErr w:type="spellStart"/>
      <w:r w:rsidRPr="00F46BE1">
        <w:rPr>
          <w:szCs w:val="24"/>
        </w:rPr>
        <w:t>SLDC</w:t>
      </w:r>
      <w:proofErr w:type="spellEnd"/>
      <w:r w:rsidRPr="00F46BE1">
        <w:rPr>
          <w:szCs w:val="24"/>
        </w:rPr>
        <w:t xml:space="preserve">, a separate entity and soon the matter will be put up before </w:t>
      </w:r>
      <w:proofErr w:type="spellStart"/>
      <w:proofErr w:type="gramStart"/>
      <w:r w:rsidRPr="00F46BE1">
        <w:rPr>
          <w:szCs w:val="24"/>
        </w:rPr>
        <w:t>BSP</w:t>
      </w:r>
      <w:proofErr w:type="spellEnd"/>
      <w:r w:rsidRPr="00F46BE1">
        <w:rPr>
          <w:szCs w:val="24"/>
        </w:rPr>
        <w:t>(</w:t>
      </w:r>
      <w:proofErr w:type="gramEnd"/>
      <w:r w:rsidRPr="00F46BE1">
        <w:rPr>
          <w:szCs w:val="24"/>
        </w:rPr>
        <w:t>H)CL Board for approval and to take up the matter with the State Government.</w:t>
      </w:r>
    </w:p>
    <w:p w14:paraId="67DD1BF6" w14:textId="77777777" w:rsidR="006C3CA0" w:rsidRPr="00AB3A13" w:rsidRDefault="006C3CA0" w:rsidP="006C3CA0">
      <w:pPr>
        <w:spacing w:after="200" w:line="276" w:lineRule="auto"/>
        <w:rPr>
          <w:rFonts w:cs="Calibri,Bold"/>
          <w:b/>
          <w:bCs/>
          <w:szCs w:val="24"/>
          <w:lang w:val="en-GB"/>
        </w:rPr>
      </w:pPr>
    </w:p>
    <w:p w14:paraId="2886A47B" w14:textId="77777777" w:rsidR="006C3CA0" w:rsidRPr="00AB3A13" w:rsidRDefault="006C3CA0" w:rsidP="006C3CA0">
      <w:pPr>
        <w:pStyle w:val="Heading2"/>
        <w:rPr>
          <w:sz w:val="24"/>
          <w:szCs w:val="24"/>
        </w:rPr>
      </w:pPr>
      <w:bookmarkStart w:id="40" w:name="_Toc498423467"/>
      <w:r w:rsidRPr="00AB3A13">
        <w:rPr>
          <w:sz w:val="24"/>
          <w:szCs w:val="24"/>
        </w:rPr>
        <w:t xml:space="preserve">Directive 2: Users of </w:t>
      </w:r>
      <w:proofErr w:type="spellStart"/>
      <w:r w:rsidRPr="00AB3A13">
        <w:rPr>
          <w:sz w:val="24"/>
          <w:szCs w:val="24"/>
        </w:rPr>
        <w:t>SLDC</w:t>
      </w:r>
      <w:bookmarkEnd w:id="40"/>
      <w:proofErr w:type="spellEnd"/>
    </w:p>
    <w:p w14:paraId="5060BCAD" w14:textId="77777777" w:rsidR="006C3CA0" w:rsidRPr="00340055" w:rsidRDefault="006C3CA0" w:rsidP="006C3CA0">
      <w:pPr>
        <w:autoSpaceDE w:val="0"/>
        <w:autoSpaceDN w:val="0"/>
        <w:adjustRightInd w:val="0"/>
        <w:spacing w:line="240" w:lineRule="auto"/>
        <w:jc w:val="left"/>
        <w:rPr>
          <w:rFonts w:cs="Calibri"/>
          <w:i/>
          <w:szCs w:val="24"/>
          <w:lang w:val="en-GB"/>
        </w:rPr>
      </w:pPr>
      <w:proofErr w:type="spellStart"/>
      <w:r w:rsidRPr="00340055">
        <w:rPr>
          <w:rFonts w:cs="Calibri"/>
          <w:i/>
          <w:szCs w:val="24"/>
          <w:lang w:val="en-GB"/>
        </w:rPr>
        <w:t>SLDC</w:t>
      </w:r>
      <w:proofErr w:type="spellEnd"/>
      <w:r w:rsidRPr="00340055">
        <w:rPr>
          <w:rFonts w:cs="Calibri"/>
          <w:i/>
          <w:szCs w:val="24"/>
          <w:lang w:val="en-GB"/>
        </w:rPr>
        <w:t xml:space="preserve"> shall address all of its users to apply for grid connectivity and shall maintain list of such customers with details such as MW contracted, etc. and shall furnish the list of its users to the Commission.</w:t>
      </w:r>
    </w:p>
    <w:p w14:paraId="2A332951" w14:textId="77777777" w:rsidR="006C3CA0" w:rsidRDefault="006C3CA0" w:rsidP="006C3CA0">
      <w:pPr>
        <w:rPr>
          <w:rFonts w:cs="Calibri"/>
          <w:szCs w:val="24"/>
          <w:lang w:val="en-GB"/>
        </w:rPr>
      </w:pPr>
    </w:p>
    <w:p w14:paraId="07C4D48F" w14:textId="77777777" w:rsidR="006C3CA0" w:rsidRDefault="006C3CA0" w:rsidP="006C3CA0">
      <w:pPr>
        <w:spacing w:after="200" w:line="276" w:lineRule="auto"/>
        <w:rPr>
          <w:rFonts w:cs="Calibri,Bold"/>
          <w:b/>
          <w:bCs/>
          <w:szCs w:val="24"/>
          <w:lang w:val="en-GB"/>
        </w:rPr>
      </w:pPr>
      <w:r w:rsidRPr="00AB3A13">
        <w:rPr>
          <w:rFonts w:cs="Calibri,Bold"/>
          <w:b/>
          <w:bCs/>
          <w:szCs w:val="24"/>
          <w:lang w:val="en-GB"/>
        </w:rPr>
        <w:t xml:space="preserve">Compliance: </w:t>
      </w:r>
    </w:p>
    <w:p w14:paraId="251B140B" w14:textId="77777777" w:rsidR="006C3CA0" w:rsidRPr="00340055" w:rsidRDefault="006C3CA0" w:rsidP="006C3CA0">
      <w:pPr>
        <w:spacing w:after="200" w:line="276" w:lineRule="auto"/>
        <w:rPr>
          <w:rFonts w:cs="Calibri,Bold"/>
          <w:bCs/>
          <w:szCs w:val="24"/>
          <w:lang w:val="en-GB"/>
        </w:rPr>
      </w:pPr>
      <w:r w:rsidRPr="00174C25">
        <w:rPr>
          <w:rFonts w:cs="Calibri,Bold"/>
          <w:bCs/>
          <w:szCs w:val="24"/>
          <w:lang w:val="en-GB"/>
        </w:rPr>
        <w:t>The Petitioner is strengthening the infrastructure for Grid connectivity so that real time communications can be done. Once the infrastructure gets ready which is expected to be complete by July, 2018, the Petitioner will provide the grid connectivity to the users and will submit the list of its users to the Commission by September, 2018.</w:t>
      </w:r>
      <w:r w:rsidRPr="00340055">
        <w:rPr>
          <w:rFonts w:cs="Calibri,Bold"/>
          <w:bCs/>
          <w:szCs w:val="24"/>
          <w:lang w:val="en-GB"/>
        </w:rPr>
        <w:t xml:space="preserve">  </w:t>
      </w:r>
    </w:p>
    <w:p w14:paraId="1ADCB647" w14:textId="77777777" w:rsidR="006C3CA0" w:rsidRPr="00AB3A13" w:rsidRDefault="006C3CA0" w:rsidP="006C3CA0">
      <w:pPr>
        <w:pStyle w:val="Heading2"/>
        <w:rPr>
          <w:sz w:val="24"/>
          <w:szCs w:val="24"/>
        </w:rPr>
      </w:pPr>
      <w:bookmarkStart w:id="41" w:name="_Toc498423468"/>
      <w:r w:rsidRPr="00AB3A13">
        <w:rPr>
          <w:sz w:val="24"/>
          <w:szCs w:val="24"/>
        </w:rPr>
        <w:lastRenderedPageBreak/>
        <w:t xml:space="preserve">Directive 3: </w:t>
      </w:r>
      <w:r w:rsidRPr="00AB3A13">
        <w:rPr>
          <w:rFonts w:cs="Calibri,Bold"/>
          <w:bCs w:val="0"/>
          <w:sz w:val="24"/>
          <w:szCs w:val="24"/>
          <w:lang w:val="en-GB"/>
        </w:rPr>
        <w:t>Implementation of Scheduling, Accounting, Metering And Settlement of Transactions in Electricity (</w:t>
      </w:r>
      <w:proofErr w:type="spellStart"/>
      <w:r w:rsidRPr="00AB3A13">
        <w:rPr>
          <w:rFonts w:cs="Calibri,Bold"/>
          <w:bCs w:val="0"/>
          <w:sz w:val="24"/>
          <w:szCs w:val="24"/>
          <w:lang w:val="en-GB"/>
        </w:rPr>
        <w:t>SAMAST</w:t>
      </w:r>
      <w:proofErr w:type="spellEnd"/>
      <w:r w:rsidRPr="00AB3A13">
        <w:rPr>
          <w:rFonts w:cs="Calibri,Bold"/>
          <w:bCs w:val="0"/>
          <w:sz w:val="24"/>
          <w:szCs w:val="24"/>
          <w:lang w:val="en-GB"/>
        </w:rPr>
        <w:t>).</w:t>
      </w:r>
      <w:bookmarkEnd w:id="41"/>
    </w:p>
    <w:p w14:paraId="204971D3" w14:textId="77777777" w:rsidR="006C3CA0" w:rsidRDefault="006C3CA0" w:rsidP="006C3CA0">
      <w:pPr>
        <w:rPr>
          <w:rFonts w:cs="Calibri"/>
          <w:szCs w:val="24"/>
          <w:lang w:val="en-GB"/>
        </w:rPr>
      </w:pPr>
    </w:p>
    <w:p w14:paraId="3CA06FB0" w14:textId="77777777" w:rsidR="006C3CA0" w:rsidRPr="00340055" w:rsidRDefault="006C3CA0" w:rsidP="006C3CA0">
      <w:pPr>
        <w:rPr>
          <w:i/>
          <w:szCs w:val="24"/>
        </w:rPr>
      </w:pPr>
      <w:r w:rsidRPr="00340055">
        <w:rPr>
          <w:rFonts w:cs="Calibri"/>
          <w:i/>
          <w:szCs w:val="24"/>
          <w:lang w:val="en-GB"/>
        </w:rPr>
        <w:t xml:space="preserve">The </w:t>
      </w:r>
      <w:proofErr w:type="spellStart"/>
      <w:r w:rsidRPr="00340055">
        <w:rPr>
          <w:rFonts w:cs="Calibri"/>
          <w:i/>
          <w:szCs w:val="24"/>
          <w:lang w:val="en-GB"/>
        </w:rPr>
        <w:t>SLDC</w:t>
      </w:r>
      <w:proofErr w:type="spellEnd"/>
      <w:r w:rsidRPr="00340055">
        <w:rPr>
          <w:rFonts w:cs="Calibri"/>
          <w:i/>
          <w:szCs w:val="24"/>
          <w:lang w:val="en-GB"/>
        </w:rPr>
        <w:t xml:space="preserve"> shall file status report on implementation of </w:t>
      </w:r>
      <w:proofErr w:type="spellStart"/>
      <w:r w:rsidRPr="00340055">
        <w:rPr>
          <w:rFonts w:cs="Calibri"/>
          <w:i/>
          <w:szCs w:val="24"/>
          <w:lang w:val="en-GB"/>
        </w:rPr>
        <w:t>SAMAST</w:t>
      </w:r>
      <w:proofErr w:type="spellEnd"/>
      <w:r w:rsidRPr="00340055">
        <w:rPr>
          <w:rFonts w:cs="Calibri"/>
          <w:i/>
          <w:szCs w:val="24"/>
          <w:lang w:val="en-GB"/>
        </w:rPr>
        <w:t xml:space="preserve"> by 31st May 2017.</w:t>
      </w:r>
    </w:p>
    <w:p w14:paraId="71E98A14" w14:textId="77777777" w:rsidR="006C3CA0" w:rsidRPr="00AB3A13" w:rsidRDefault="006C3CA0" w:rsidP="006C3CA0">
      <w:pPr>
        <w:spacing w:after="200" w:line="276" w:lineRule="auto"/>
        <w:rPr>
          <w:rFonts w:cs="Calibri,Bold"/>
          <w:b/>
          <w:bCs/>
          <w:szCs w:val="24"/>
          <w:lang w:val="en-GB"/>
        </w:rPr>
      </w:pPr>
    </w:p>
    <w:p w14:paraId="2763049F" w14:textId="77777777" w:rsidR="006C3CA0" w:rsidRPr="00AB3A13" w:rsidRDefault="006C3CA0" w:rsidP="006C3CA0">
      <w:pPr>
        <w:spacing w:after="200" w:line="276" w:lineRule="auto"/>
        <w:rPr>
          <w:rFonts w:cs="Calibri,Bold"/>
          <w:bCs/>
          <w:szCs w:val="24"/>
          <w:lang w:val="en-GB"/>
        </w:rPr>
      </w:pPr>
      <w:r w:rsidRPr="00AB3A13">
        <w:rPr>
          <w:rFonts w:cs="Calibri,Bold"/>
          <w:b/>
          <w:bCs/>
          <w:szCs w:val="24"/>
          <w:lang w:val="en-GB"/>
        </w:rPr>
        <w:t>Compliance</w:t>
      </w:r>
      <w:r w:rsidRPr="00174C25">
        <w:rPr>
          <w:rFonts w:cs="Calibri,Bold"/>
          <w:b/>
          <w:bCs/>
          <w:szCs w:val="24"/>
          <w:lang w:val="en-GB"/>
        </w:rPr>
        <w:t xml:space="preserve">: </w:t>
      </w:r>
      <w:r w:rsidRPr="00174C25">
        <w:rPr>
          <w:rFonts w:cs="Calibri,Bold"/>
          <w:bCs/>
          <w:szCs w:val="24"/>
          <w:lang w:val="en-GB"/>
        </w:rPr>
        <w:t xml:space="preserve">The Petitioner has submitted the updated status report </w:t>
      </w:r>
      <w:r w:rsidRPr="00174C25">
        <w:rPr>
          <w:rFonts w:cs="Calibri"/>
          <w:szCs w:val="24"/>
          <w:lang w:val="en-GB"/>
        </w:rPr>
        <w:t xml:space="preserve">on implementation of </w:t>
      </w:r>
      <w:proofErr w:type="spellStart"/>
      <w:r w:rsidRPr="00174C25">
        <w:rPr>
          <w:rFonts w:cs="Calibri"/>
          <w:szCs w:val="24"/>
          <w:lang w:val="en-GB"/>
        </w:rPr>
        <w:t>SAMAST</w:t>
      </w:r>
      <w:proofErr w:type="spellEnd"/>
      <w:r w:rsidRPr="00174C25">
        <w:rPr>
          <w:rFonts w:cs="Calibri"/>
          <w:szCs w:val="24"/>
          <w:lang w:val="en-GB"/>
        </w:rPr>
        <w:t xml:space="preserve"> vide letter dated </w:t>
      </w:r>
      <w:r>
        <w:rPr>
          <w:rFonts w:cs="Calibri"/>
          <w:szCs w:val="24"/>
          <w:lang w:val="en-GB"/>
        </w:rPr>
        <w:t xml:space="preserve">16.10.2017 and attached as Annexure-I, </w:t>
      </w:r>
      <w:r w:rsidRPr="00174C25">
        <w:rPr>
          <w:rFonts w:cs="Calibri"/>
          <w:szCs w:val="24"/>
          <w:lang w:val="en-GB"/>
        </w:rPr>
        <w:t>which is expected to be completed by July, 2018.</w:t>
      </w:r>
    </w:p>
    <w:p w14:paraId="1CB51C35" w14:textId="77777777" w:rsidR="006C3CA0" w:rsidRPr="000D6179" w:rsidRDefault="006C3CA0" w:rsidP="006C3CA0"/>
    <w:p w14:paraId="6B07EBED" w14:textId="77777777" w:rsidR="006C3CA0" w:rsidRDefault="006C3CA0" w:rsidP="006C3CA0">
      <w:pPr>
        <w:spacing w:after="200" w:line="276" w:lineRule="auto"/>
        <w:jc w:val="left"/>
        <w:rPr>
          <w:rFonts w:eastAsiaTheme="majorEastAsia" w:cstheme="majorBidi"/>
          <w:b/>
          <w:bCs/>
          <w:color w:val="4F81BD" w:themeColor="accent1"/>
          <w:sz w:val="32"/>
          <w:szCs w:val="28"/>
        </w:rPr>
      </w:pPr>
      <w:r>
        <w:br w:type="page"/>
      </w:r>
    </w:p>
    <w:p w14:paraId="29F2D8A9" w14:textId="77777777" w:rsidR="006C3CA0" w:rsidRDefault="006C3CA0" w:rsidP="006C3CA0">
      <w:pPr>
        <w:pStyle w:val="Heading1"/>
      </w:pPr>
      <w:bookmarkStart w:id="42" w:name="_Toc498423469"/>
      <w:r>
        <w:lastRenderedPageBreak/>
        <w:t>Prayers</w:t>
      </w:r>
      <w:bookmarkEnd w:id="39"/>
      <w:bookmarkEnd w:id="42"/>
      <w:r>
        <w:t xml:space="preserve">   </w:t>
      </w:r>
    </w:p>
    <w:p w14:paraId="646EA515" w14:textId="77777777" w:rsidR="006C3CA0" w:rsidRDefault="006C3CA0" w:rsidP="006C3CA0"/>
    <w:p w14:paraId="03C000BB" w14:textId="77777777" w:rsidR="006C3CA0" w:rsidRDefault="006C3CA0" w:rsidP="006C3CA0">
      <w:r>
        <w:t>The Petitioner prays to the Hon’ble Commission as under:</w:t>
      </w:r>
    </w:p>
    <w:p w14:paraId="77E8C133" w14:textId="77777777" w:rsidR="006C3CA0" w:rsidRDefault="006C3CA0" w:rsidP="006C3CA0"/>
    <w:p w14:paraId="3748B55E" w14:textId="77777777" w:rsidR="006C3CA0" w:rsidRPr="00827095" w:rsidRDefault="006C3CA0" w:rsidP="006C3CA0">
      <w:pPr>
        <w:numPr>
          <w:ilvl w:val="0"/>
          <w:numId w:val="4"/>
        </w:numPr>
      </w:pPr>
      <w:r>
        <w:rPr>
          <w:lang w:val="en-US"/>
        </w:rPr>
        <w:t>To admit the Petition</w:t>
      </w:r>
    </w:p>
    <w:p w14:paraId="7B62AA17" w14:textId="77777777" w:rsidR="006C3CA0" w:rsidRDefault="006C3CA0" w:rsidP="006C3CA0">
      <w:pPr>
        <w:numPr>
          <w:ilvl w:val="0"/>
          <w:numId w:val="4"/>
        </w:numPr>
      </w:pPr>
      <w:r w:rsidRPr="00827095">
        <w:t>Examine the proposal submitted by the Petitioner in the enclosed petition for a favourable dispensation</w:t>
      </w:r>
    </w:p>
    <w:p w14:paraId="1324377C" w14:textId="77777777" w:rsidR="006C3CA0" w:rsidRDefault="006C3CA0" w:rsidP="006C3CA0">
      <w:pPr>
        <w:numPr>
          <w:ilvl w:val="0"/>
          <w:numId w:val="4"/>
        </w:numPr>
      </w:pPr>
      <w:r>
        <w:t xml:space="preserve">To Approve APR of Rs. 8.74 </w:t>
      </w:r>
      <w:proofErr w:type="spellStart"/>
      <w:r>
        <w:t>Crore</w:t>
      </w:r>
      <w:proofErr w:type="spellEnd"/>
      <w:r>
        <w:t xml:space="preserve"> </w:t>
      </w:r>
    </w:p>
    <w:p w14:paraId="6F713EBA" w14:textId="77777777" w:rsidR="006C3CA0" w:rsidRDefault="006C3CA0" w:rsidP="006C3CA0">
      <w:pPr>
        <w:numPr>
          <w:ilvl w:val="0"/>
          <w:numId w:val="4"/>
        </w:numPr>
      </w:pPr>
      <w:r>
        <w:t xml:space="preserve">To approve the </w:t>
      </w:r>
      <w:proofErr w:type="spellStart"/>
      <w:r>
        <w:t>SLDC</w:t>
      </w:r>
      <w:proofErr w:type="spellEnd"/>
      <w:r>
        <w:t xml:space="preserve"> </w:t>
      </w:r>
      <w:proofErr w:type="spellStart"/>
      <w:r>
        <w:t>ARR</w:t>
      </w:r>
      <w:proofErr w:type="spellEnd"/>
      <w:r>
        <w:t xml:space="preserve"> of Rs. 9.08 </w:t>
      </w:r>
      <w:proofErr w:type="spellStart"/>
      <w:r>
        <w:t>Crore</w:t>
      </w:r>
      <w:proofErr w:type="spellEnd"/>
      <w:r>
        <w:t xml:space="preserve"> for FY 2018-19 and recovery of same from the two Distribution Companies in the ratio of power sharing ratio;</w:t>
      </w:r>
    </w:p>
    <w:p w14:paraId="668045A0" w14:textId="77777777" w:rsidR="006C3CA0" w:rsidRDefault="006C3CA0" w:rsidP="006C3CA0">
      <w:pPr>
        <w:numPr>
          <w:ilvl w:val="0"/>
          <w:numId w:val="4"/>
        </w:numPr>
      </w:pPr>
      <w:r>
        <w:t xml:space="preserve">Condone any inadvertent omissions, errors, short comings and permit </w:t>
      </w:r>
      <w:proofErr w:type="spellStart"/>
      <w:r>
        <w:t>SLDC</w:t>
      </w:r>
      <w:proofErr w:type="spellEnd"/>
      <w:r>
        <w:t xml:space="preserve"> to add/change/modify/alter this filing and make further submissions as may be required at a future date; and </w:t>
      </w:r>
    </w:p>
    <w:p w14:paraId="61FC063B" w14:textId="77777777" w:rsidR="006C3CA0" w:rsidRDefault="006C3CA0" w:rsidP="006C3CA0">
      <w:pPr>
        <w:numPr>
          <w:ilvl w:val="0"/>
          <w:numId w:val="4"/>
        </w:numPr>
      </w:pPr>
      <w:r w:rsidRPr="009F03DD">
        <w:t>Pass such other and further Orders as deemed fit and proper in the fact</w:t>
      </w:r>
      <w:r>
        <w:t>s and circumstances of the case.</w:t>
      </w:r>
    </w:p>
    <w:p w14:paraId="1C87EFFC" w14:textId="77777777" w:rsidR="006C3CA0" w:rsidRDefault="006C3CA0" w:rsidP="006C3CA0">
      <w:pPr>
        <w:ind w:left="720"/>
        <w:rPr>
          <w:lang w:val="en-GB"/>
        </w:rPr>
      </w:pPr>
    </w:p>
    <w:p w14:paraId="260E5544" w14:textId="77777777" w:rsidR="006C3CA0" w:rsidRDefault="006C3CA0" w:rsidP="006C3CA0">
      <w:pPr>
        <w:ind w:left="720"/>
        <w:rPr>
          <w:lang w:val="en-GB"/>
        </w:rPr>
      </w:pPr>
    </w:p>
    <w:p w14:paraId="0EE9C675" w14:textId="77777777" w:rsidR="006C3CA0" w:rsidRDefault="006C3CA0" w:rsidP="006C3CA0">
      <w:pPr>
        <w:ind w:left="720"/>
        <w:rPr>
          <w:lang w:val="en-GB"/>
        </w:rPr>
      </w:pPr>
    </w:p>
    <w:p w14:paraId="396F252F" w14:textId="77777777" w:rsidR="006C3CA0" w:rsidRPr="003006BF" w:rsidRDefault="006C3CA0" w:rsidP="006C3CA0">
      <w:pPr>
        <w:pStyle w:val="BodyText"/>
        <w:ind w:left="860"/>
        <w:rPr>
          <w:rFonts w:ascii="Book Antiqua" w:hAnsi="Book Antiqua" w:cs="David"/>
          <w:spacing w:val="-1"/>
        </w:rPr>
      </w:pPr>
      <w:r w:rsidRPr="003006BF">
        <w:rPr>
          <w:rFonts w:ascii="Book Antiqua" w:hAnsi="Book Antiqua" w:cs="David"/>
          <w:spacing w:val="-1"/>
        </w:rPr>
        <w:t xml:space="preserve">Dated: </w:t>
      </w:r>
      <w:r>
        <w:rPr>
          <w:rFonts w:ascii="Book Antiqua" w:hAnsi="Book Antiqua" w:cs="David"/>
          <w:spacing w:val="-1"/>
        </w:rPr>
        <w:t>15</w:t>
      </w:r>
      <w:r w:rsidRPr="003006BF">
        <w:rPr>
          <w:rFonts w:ascii="Book Antiqua" w:hAnsi="Book Antiqua" w:cs="David"/>
          <w:spacing w:val="-1"/>
        </w:rPr>
        <w:t xml:space="preserve"> November</w:t>
      </w:r>
      <w:r>
        <w:rPr>
          <w:rFonts w:ascii="Book Antiqua" w:hAnsi="Book Antiqua" w:cs="David"/>
          <w:spacing w:val="-1"/>
        </w:rPr>
        <w:t>,</w:t>
      </w:r>
      <w:r w:rsidRPr="003006BF">
        <w:rPr>
          <w:rFonts w:ascii="Book Antiqua" w:hAnsi="Book Antiqua" w:cs="David"/>
          <w:spacing w:val="-1"/>
        </w:rPr>
        <w:t xml:space="preserve"> 201</w:t>
      </w:r>
      <w:r>
        <w:rPr>
          <w:rFonts w:ascii="Book Antiqua" w:hAnsi="Book Antiqua" w:cs="David"/>
          <w:spacing w:val="-1"/>
        </w:rPr>
        <w:t>7</w:t>
      </w:r>
      <w:r w:rsidRPr="003006BF">
        <w:rPr>
          <w:rFonts w:ascii="Book Antiqua" w:hAnsi="Book Antiqua" w:cs="David"/>
          <w:spacing w:val="-1"/>
        </w:rPr>
        <w:t xml:space="preserve">                       </w:t>
      </w:r>
      <w:r>
        <w:rPr>
          <w:rFonts w:ascii="Book Antiqua" w:hAnsi="Book Antiqua" w:cs="David"/>
          <w:spacing w:val="-1"/>
        </w:rPr>
        <w:t xml:space="preserve">                      </w:t>
      </w:r>
      <w:r w:rsidRPr="003006BF">
        <w:rPr>
          <w:rFonts w:ascii="Book Antiqua" w:hAnsi="Book Antiqua" w:cs="David"/>
          <w:spacing w:val="-1"/>
        </w:rPr>
        <w:t xml:space="preserve"> </w:t>
      </w:r>
      <w:r>
        <w:rPr>
          <w:rFonts w:ascii="Book Antiqua" w:hAnsi="Book Antiqua" w:cs="David"/>
          <w:spacing w:val="-1"/>
        </w:rPr>
        <w:t xml:space="preserve">H.R. </w:t>
      </w:r>
      <w:proofErr w:type="spellStart"/>
      <w:r>
        <w:rPr>
          <w:rFonts w:ascii="Book Antiqua" w:hAnsi="Book Antiqua" w:cs="David"/>
          <w:spacing w:val="-1"/>
        </w:rPr>
        <w:t>Panday</w:t>
      </w:r>
      <w:proofErr w:type="spellEnd"/>
    </w:p>
    <w:p w14:paraId="77F25C21" w14:textId="77777777" w:rsidR="006C3CA0" w:rsidRPr="003006BF" w:rsidRDefault="006C3CA0" w:rsidP="006C3CA0">
      <w:pPr>
        <w:pStyle w:val="BodyText"/>
        <w:ind w:left="4320" w:firstLine="720"/>
        <w:jc w:val="center"/>
        <w:rPr>
          <w:rFonts w:ascii="Book Antiqua" w:hAnsi="Book Antiqua" w:cs="David"/>
          <w:spacing w:val="-1"/>
        </w:rPr>
      </w:pPr>
      <w:r>
        <w:rPr>
          <w:rFonts w:ascii="Book Antiqua" w:hAnsi="Book Antiqua" w:cs="David"/>
          <w:spacing w:val="-1"/>
        </w:rPr>
        <w:t>Chief Engineer (System Operation)</w:t>
      </w:r>
    </w:p>
    <w:p w14:paraId="27C558F3" w14:textId="77777777" w:rsidR="006C3CA0" w:rsidRPr="00B76D28" w:rsidRDefault="006C3CA0" w:rsidP="006C3CA0">
      <w:pPr>
        <w:ind w:left="720"/>
        <w:rPr>
          <w:lang w:val="en-GB"/>
        </w:rPr>
      </w:pPr>
    </w:p>
    <w:sectPr w:rsidR="006C3CA0" w:rsidRPr="00B76D28" w:rsidSect="001A5B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AEAC9" w14:textId="77777777" w:rsidR="00600441" w:rsidRDefault="00600441" w:rsidP="00F50F50">
      <w:pPr>
        <w:spacing w:line="240" w:lineRule="auto"/>
      </w:pPr>
      <w:r>
        <w:separator/>
      </w:r>
    </w:p>
  </w:endnote>
  <w:endnote w:type="continuationSeparator" w:id="0">
    <w:p w14:paraId="3F7329C0" w14:textId="77777777" w:rsidR="00600441" w:rsidRDefault="00600441" w:rsidP="00F50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EFC0" w14:textId="6EF80B7A" w:rsidR="0027074E" w:rsidRPr="000B4251" w:rsidRDefault="0027074E">
    <w:pPr>
      <w:pStyle w:val="Footer"/>
      <w:pBdr>
        <w:top w:val="thinThickSmallGap" w:sz="24" w:space="1" w:color="622423" w:themeColor="accent2" w:themeShade="7F"/>
      </w:pBdr>
      <w:rPr>
        <w:rFonts w:asciiTheme="majorHAnsi" w:eastAsiaTheme="majorEastAsia" w:hAnsiTheme="majorHAnsi" w:cstheme="majorBidi"/>
        <w:sz w:val="20"/>
      </w:rPr>
    </w:pPr>
    <w:proofErr w:type="spellStart"/>
    <w:r>
      <w:rPr>
        <w:rFonts w:asciiTheme="majorHAnsi" w:eastAsiaTheme="majorEastAsia" w:hAnsiTheme="majorHAnsi" w:cstheme="majorBidi"/>
        <w:sz w:val="20"/>
      </w:rPr>
      <w:t>SLDC</w:t>
    </w:r>
    <w:proofErr w:type="spellEnd"/>
    <w:r w:rsidRPr="000B4251">
      <w:rPr>
        <w:rFonts w:asciiTheme="majorHAnsi" w:eastAsiaTheme="majorEastAsia" w:hAnsiTheme="majorHAnsi" w:cstheme="majorBidi"/>
        <w:sz w:val="20"/>
      </w:rPr>
      <w:t xml:space="preserve"> Tariff Petition for </w:t>
    </w:r>
    <w:r>
      <w:rPr>
        <w:rFonts w:asciiTheme="majorHAnsi" w:eastAsiaTheme="majorEastAsia" w:hAnsiTheme="majorHAnsi" w:cstheme="majorBidi"/>
        <w:sz w:val="20"/>
      </w:rPr>
      <w:t xml:space="preserve">FY </w:t>
    </w:r>
    <w:r w:rsidRPr="000B4251">
      <w:rPr>
        <w:rFonts w:asciiTheme="majorHAnsi" w:eastAsiaTheme="majorEastAsia" w:hAnsiTheme="majorHAnsi" w:cstheme="majorBidi"/>
        <w:sz w:val="20"/>
      </w:rPr>
      <w:t>20</w:t>
    </w:r>
    <w:r>
      <w:rPr>
        <w:rFonts w:asciiTheme="majorHAnsi" w:eastAsiaTheme="majorEastAsia" w:hAnsiTheme="majorHAnsi" w:cstheme="majorBidi"/>
        <w:sz w:val="20"/>
      </w:rPr>
      <w:t>18-19</w:t>
    </w:r>
    <w:r w:rsidRPr="000B4251">
      <w:rPr>
        <w:rFonts w:asciiTheme="majorHAnsi" w:eastAsiaTheme="majorEastAsia" w:hAnsiTheme="majorHAnsi" w:cstheme="majorBidi"/>
        <w:sz w:val="20"/>
      </w:rPr>
      <w:ptab w:relativeTo="margin" w:alignment="right" w:leader="none"/>
    </w:r>
    <w:r w:rsidRPr="000B4251">
      <w:rPr>
        <w:rFonts w:asciiTheme="majorHAnsi" w:eastAsiaTheme="majorEastAsia" w:hAnsiTheme="majorHAnsi" w:cstheme="majorBidi"/>
        <w:sz w:val="20"/>
      </w:rPr>
      <w:t xml:space="preserve">Page </w:t>
    </w:r>
    <w:r w:rsidRPr="000B4251">
      <w:rPr>
        <w:rFonts w:eastAsiaTheme="minorEastAsia"/>
        <w:sz w:val="20"/>
      </w:rPr>
      <w:fldChar w:fldCharType="begin"/>
    </w:r>
    <w:r w:rsidRPr="000B4251">
      <w:rPr>
        <w:sz w:val="20"/>
      </w:rPr>
      <w:instrText xml:space="preserve"> PAGE   \* MERGEFORMAT </w:instrText>
    </w:r>
    <w:r w:rsidRPr="000B4251">
      <w:rPr>
        <w:rFonts w:eastAsiaTheme="minorEastAsia"/>
        <w:sz w:val="20"/>
      </w:rPr>
      <w:fldChar w:fldCharType="separate"/>
    </w:r>
    <w:r w:rsidR="0045624D" w:rsidRPr="0045624D">
      <w:rPr>
        <w:rFonts w:asciiTheme="majorHAnsi" w:eastAsiaTheme="majorEastAsia" w:hAnsiTheme="majorHAnsi" w:cstheme="majorBidi"/>
        <w:noProof/>
        <w:sz w:val="20"/>
      </w:rPr>
      <w:t>12</w:t>
    </w:r>
    <w:r w:rsidRPr="000B4251">
      <w:rPr>
        <w:rFonts w:asciiTheme="majorHAnsi" w:eastAsiaTheme="majorEastAsia" w:hAnsiTheme="majorHAnsi" w:cstheme="majorBidi"/>
        <w:noProof/>
        <w:sz w:val="20"/>
      </w:rPr>
      <w:fldChar w:fldCharType="end"/>
    </w:r>
  </w:p>
  <w:p w14:paraId="587F5DE8" w14:textId="77777777" w:rsidR="0027074E" w:rsidRPr="000B4251" w:rsidRDefault="0027074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E8C13" w14:textId="77777777" w:rsidR="00600441" w:rsidRDefault="00600441" w:rsidP="00F50F50">
      <w:pPr>
        <w:spacing w:line="240" w:lineRule="auto"/>
      </w:pPr>
      <w:r>
        <w:separator/>
      </w:r>
    </w:p>
  </w:footnote>
  <w:footnote w:type="continuationSeparator" w:id="0">
    <w:p w14:paraId="021E7D35" w14:textId="77777777" w:rsidR="00600441" w:rsidRDefault="00600441" w:rsidP="00F50F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BA34" w14:textId="2E21A7B5" w:rsidR="0027074E" w:rsidRPr="00F73D1F" w:rsidRDefault="0027074E" w:rsidP="00F73D1F">
    <w:pPr>
      <w:pStyle w:val="Header"/>
      <w:pBdr>
        <w:bottom w:val="single" w:sz="12" w:space="1" w:color="auto"/>
      </w:pBdr>
      <w:rPr>
        <w:noProof/>
        <w:lang w:eastAsia="en-IN"/>
      </w:rPr>
    </w:pPr>
    <w:r>
      <w:rPr>
        <w:noProof/>
        <w:lang w:val="en-US"/>
      </w:rPr>
      <w:tab/>
    </w:r>
    <w:r>
      <w:rPr>
        <w:noProof/>
        <w:lang w:val="en-US"/>
      </w:rPr>
      <w:tab/>
    </w:r>
    <w:r>
      <w:rPr>
        <w:rFonts w:cs="Calibri"/>
        <w:b/>
        <w:noProof/>
        <w:lang w:eastAsia="en-IN" w:bidi="hi-IN"/>
      </w:rPr>
      <w:drawing>
        <wp:inline distT="0" distB="0" distL="0" distR="0" wp14:anchorId="184E0E36" wp14:editId="4C4C5309">
          <wp:extent cx="714374" cy="752475"/>
          <wp:effectExtent l="0" t="0" r="0" b="0"/>
          <wp:docPr id="2" name="Picture 2" descr="C:\Users\Manish Shakya\Desktop\LOGO of BSPT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ish Shakya\Desktop\LOGO of BSPTC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858" cy="755091"/>
                  </a:xfrm>
                  <a:prstGeom prst="rect">
                    <a:avLst/>
                  </a:prstGeom>
                  <a:noFill/>
                  <a:ln>
                    <a:noFill/>
                  </a:ln>
                </pic:spPr>
              </pic:pic>
            </a:graphicData>
          </a:graphic>
        </wp:inline>
      </w:drawing>
    </w:r>
    <w:r>
      <w:rPr>
        <w:sz w:val="18"/>
      </w:rPr>
      <w:tab/>
    </w: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F0D"/>
    <w:multiLevelType w:val="multilevel"/>
    <w:tmpl w:val="39AA91B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8A7A94"/>
    <w:multiLevelType w:val="hybridMultilevel"/>
    <w:tmpl w:val="279E2658"/>
    <w:lvl w:ilvl="0" w:tplc="0409001B">
      <w:start w:val="1"/>
      <w:numFmt w:val="lowerRoman"/>
      <w:lvlText w:val="%1."/>
      <w:lvlJc w:val="right"/>
      <w:pPr>
        <w:tabs>
          <w:tab w:val="num" w:pos="720"/>
        </w:tabs>
        <w:ind w:left="720" w:hanging="360"/>
      </w:pPr>
      <w:rPr>
        <w:rFonts w:hint="default"/>
      </w:rPr>
    </w:lvl>
    <w:lvl w:ilvl="1" w:tplc="4B0095CC" w:tentative="1">
      <w:start w:val="1"/>
      <w:numFmt w:val="bullet"/>
      <w:lvlText w:val="•"/>
      <w:lvlJc w:val="left"/>
      <w:pPr>
        <w:tabs>
          <w:tab w:val="num" w:pos="1440"/>
        </w:tabs>
        <w:ind w:left="1440" w:hanging="360"/>
      </w:pPr>
      <w:rPr>
        <w:rFonts w:ascii="Arial" w:hAnsi="Arial" w:hint="default"/>
      </w:rPr>
    </w:lvl>
    <w:lvl w:ilvl="2" w:tplc="35BE3164" w:tentative="1">
      <w:start w:val="1"/>
      <w:numFmt w:val="bullet"/>
      <w:lvlText w:val="•"/>
      <w:lvlJc w:val="left"/>
      <w:pPr>
        <w:tabs>
          <w:tab w:val="num" w:pos="2160"/>
        </w:tabs>
        <w:ind w:left="2160" w:hanging="360"/>
      </w:pPr>
      <w:rPr>
        <w:rFonts w:ascii="Arial" w:hAnsi="Arial" w:hint="default"/>
      </w:rPr>
    </w:lvl>
    <w:lvl w:ilvl="3" w:tplc="59266D36" w:tentative="1">
      <w:start w:val="1"/>
      <w:numFmt w:val="bullet"/>
      <w:lvlText w:val="•"/>
      <w:lvlJc w:val="left"/>
      <w:pPr>
        <w:tabs>
          <w:tab w:val="num" w:pos="2880"/>
        </w:tabs>
        <w:ind w:left="2880" w:hanging="360"/>
      </w:pPr>
      <w:rPr>
        <w:rFonts w:ascii="Arial" w:hAnsi="Arial" w:hint="default"/>
      </w:rPr>
    </w:lvl>
    <w:lvl w:ilvl="4" w:tplc="25B2A976" w:tentative="1">
      <w:start w:val="1"/>
      <w:numFmt w:val="bullet"/>
      <w:lvlText w:val="•"/>
      <w:lvlJc w:val="left"/>
      <w:pPr>
        <w:tabs>
          <w:tab w:val="num" w:pos="3600"/>
        </w:tabs>
        <w:ind w:left="3600" w:hanging="360"/>
      </w:pPr>
      <w:rPr>
        <w:rFonts w:ascii="Arial" w:hAnsi="Arial" w:hint="default"/>
      </w:rPr>
    </w:lvl>
    <w:lvl w:ilvl="5" w:tplc="883E4A00" w:tentative="1">
      <w:start w:val="1"/>
      <w:numFmt w:val="bullet"/>
      <w:lvlText w:val="•"/>
      <w:lvlJc w:val="left"/>
      <w:pPr>
        <w:tabs>
          <w:tab w:val="num" w:pos="4320"/>
        </w:tabs>
        <w:ind w:left="4320" w:hanging="360"/>
      </w:pPr>
      <w:rPr>
        <w:rFonts w:ascii="Arial" w:hAnsi="Arial" w:hint="default"/>
      </w:rPr>
    </w:lvl>
    <w:lvl w:ilvl="6" w:tplc="49189D16" w:tentative="1">
      <w:start w:val="1"/>
      <w:numFmt w:val="bullet"/>
      <w:lvlText w:val="•"/>
      <w:lvlJc w:val="left"/>
      <w:pPr>
        <w:tabs>
          <w:tab w:val="num" w:pos="5040"/>
        </w:tabs>
        <w:ind w:left="5040" w:hanging="360"/>
      </w:pPr>
      <w:rPr>
        <w:rFonts w:ascii="Arial" w:hAnsi="Arial" w:hint="default"/>
      </w:rPr>
    </w:lvl>
    <w:lvl w:ilvl="7" w:tplc="E13EA0A4" w:tentative="1">
      <w:start w:val="1"/>
      <w:numFmt w:val="bullet"/>
      <w:lvlText w:val="•"/>
      <w:lvlJc w:val="left"/>
      <w:pPr>
        <w:tabs>
          <w:tab w:val="num" w:pos="5760"/>
        </w:tabs>
        <w:ind w:left="5760" w:hanging="360"/>
      </w:pPr>
      <w:rPr>
        <w:rFonts w:ascii="Arial" w:hAnsi="Arial" w:hint="default"/>
      </w:rPr>
    </w:lvl>
    <w:lvl w:ilvl="8" w:tplc="59B01772" w:tentative="1">
      <w:start w:val="1"/>
      <w:numFmt w:val="bullet"/>
      <w:lvlText w:val="•"/>
      <w:lvlJc w:val="left"/>
      <w:pPr>
        <w:tabs>
          <w:tab w:val="num" w:pos="6480"/>
        </w:tabs>
        <w:ind w:left="6480" w:hanging="360"/>
      </w:pPr>
      <w:rPr>
        <w:rFonts w:ascii="Arial" w:hAnsi="Arial" w:hint="default"/>
      </w:rPr>
    </w:lvl>
  </w:abstractNum>
  <w:abstractNum w:abstractNumId="2">
    <w:nsid w:val="215C7E4B"/>
    <w:multiLevelType w:val="hybridMultilevel"/>
    <w:tmpl w:val="B0146F66"/>
    <w:lvl w:ilvl="0" w:tplc="1BACEC5E">
      <w:start w:val="1"/>
      <w:numFmt w:val="decimal"/>
      <w:pStyle w:val="1MYTHeading"/>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1C3206A"/>
    <w:multiLevelType w:val="hybridMultilevel"/>
    <w:tmpl w:val="709449A8"/>
    <w:lvl w:ilvl="0" w:tplc="24E23CCC">
      <w:start w:val="1"/>
      <w:numFmt w:val="decimal"/>
      <w:lvlText w:val="%1."/>
      <w:lvlJc w:val="left"/>
      <w:pPr>
        <w:ind w:left="500" w:hanging="360"/>
      </w:pPr>
      <w:rPr>
        <w:rFonts w:ascii="Calibri" w:eastAsia="Calibri" w:hAnsi="Calibri" w:hint="default"/>
        <w:sz w:val="24"/>
        <w:szCs w:val="24"/>
      </w:rPr>
    </w:lvl>
    <w:lvl w:ilvl="1" w:tplc="DBEEE49C">
      <w:start w:val="1"/>
      <w:numFmt w:val="lowerLetter"/>
      <w:lvlText w:val="%2)"/>
      <w:lvlJc w:val="left"/>
      <w:pPr>
        <w:ind w:left="860" w:hanging="360"/>
      </w:pPr>
      <w:rPr>
        <w:rFonts w:ascii="Calibri" w:eastAsia="Calibri" w:hAnsi="Calibri" w:hint="default"/>
        <w:sz w:val="24"/>
        <w:szCs w:val="24"/>
      </w:rPr>
    </w:lvl>
    <w:lvl w:ilvl="2" w:tplc="C8308E1A">
      <w:start w:val="1"/>
      <w:numFmt w:val="bullet"/>
      <w:lvlText w:val="•"/>
      <w:lvlJc w:val="left"/>
      <w:pPr>
        <w:ind w:left="1799" w:hanging="360"/>
      </w:pPr>
      <w:rPr>
        <w:rFonts w:hint="default"/>
      </w:rPr>
    </w:lvl>
    <w:lvl w:ilvl="3" w:tplc="27B000CC">
      <w:start w:val="1"/>
      <w:numFmt w:val="bullet"/>
      <w:lvlText w:val="•"/>
      <w:lvlJc w:val="left"/>
      <w:pPr>
        <w:ind w:left="2737" w:hanging="360"/>
      </w:pPr>
      <w:rPr>
        <w:rFonts w:hint="default"/>
      </w:rPr>
    </w:lvl>
    <w:lvl w:ilvl="4" w:tplc="DF681B14">
      <w:start w:val="1"/>
      <w:numFmt w:val="bullet"/>
      <w:lvlText w:val="•"/>
      <w:lvlJc w:val="left"/>
      <w:pPr>
        <w:ind w:left="3676" w:hanging="360"/>
      </w:pPr>
      <w:rPr>
        <w:rFonts w:hint="default"/>
      </w:rPr>
    </w:lvl>
    <w:lvl w:ilvl="5" w:tplc="4140C3E8">
      <w:start w:val="1"/>
      <w:numFmt w:val="bullet"/>
      <w:lvlText w:val="•"/>
      <w:lvlJc w:val="left"/>
      <w:pPr>
        <w:ind w:left="4615" w:hanging="360"/>
      </w:pPr>
      <w:rPr>
        <w:rFonts w:hint="default"/>
      </w:rPr>
    </w:lvl>
    <w:lvl w:ilvl="6" w:tplc="17B6030E">
      <w:start w:val="1"/>
      <w:numFmt w:val="bullet"/>
      <w:lvlText w:val="•"/>
      <w:lvlJc w:val="left"/>
      <w:pPr>
        <w:ind w:left="5553" w:hanging="360"/>
      </w:pPr>
      <w:rPr>
        <w:rFonts w:hint="default"/>
      </w:rPr>
    </w:lvl>
    <w:lvl w:ilvl="7" w:tplc="B05C29CC">
      <w:start w:val="1"/>
      <w:numFmt w:val="bullet"/>
      <w:lvlText w:val="•"/>
      <w:lvlJc w:val="left"/>
      <w:pPr>
        <w:ind w:left="6492" w:hanging="360"/>
      </w:pPr>
      <w:rPr>
        <w:rFonts w:hint="default"/>
      </w:rPr>
    </w:lvl>
    <w:lvl w:ilvl="8" w:tplc="BCBC0D18">
      <w:start w:val="1"/>
      <w:numFmt w:val="bullet"/>
      <w:lvlText w:val="•"/>
      <w:lvlJc w:val="left"/>
      <w:pPr>
        <w:ind w:left="7431" w:hanging="360"/>
      </w:pPr>
      <w:rPr>
        <w:rFonts w:hint="default"/>
      </w:rPr>
    </w:lvl>
  </w:abstractNum>
  <w:abstractNum w:abstractNumId="4">
    <w:nsid w:val="5015708C"/>
    <w:multiLevelType w:val="hybridMultilevel"/>
    <w:tmpl w:val="D81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F16F8"/>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5"/>
  </w:num>
  <w:num w:numId="3">
    <w:abstractNumId w:val="4"/>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50"/>
    <w:rsid w:val="00000D67"/>
    <w:rsid w:val="00007902"/>
    <w:rsid w:val="00007AE3"/>
    <w:rsid w:val="00017C96"/>
    <w:rsid w:val="0002209C"/>
    <w:rsid w:val="00024E0E"/>
    <w:rsid w:val="000261A5"/>
    <w:rsid w:val="000334DB"/>
    <w:rsid w:val="00043A86"/>
    <w:rsid w:val="00050496"/>
    <w:rsid w:val="000512AF"/>
    <w:rsid w:val="00053898"/>
    <w:rsid w:val="000542C1"/>
    <w:rsid w:val="0006079C"/>
    <w:rsid w:val="00061677"/>
    <w:rsid w:val="00061FE4"/>
    <w:rsid w:val="00067787"/>
    <w:rsid w:val="00067831"/>
    <w:rsid w:val="00073487"/>
    <w:rsid w:val="00073560"/>
    <w:rsid w:val="00074157"/>
    <w:rsid w:val="00082292"/>
    <w:rsid w:val="00082687"/>
    <w:rsid w:val="00084313"/>
    <w:rsid w:val="000937DD"/>
    <w:rsid w:val="00097317"/>
    <w:rsid w:val="000A0B1D"/>
    <w:rsid w:val="000A532E"/>
    <w:rsid w:val="000B2144"/>
    <w:rsid w:val="000B4251"/>
    <w:rsid w:val="000C258A"/>
    <w:rsid w:val="000C2FBD"/>
    <w:rsid w:val="000D4CF4"/>
    <w:rsid w:val="000D5194"/>
    <w:rsid w:val="000D6179"/>
    <w:rsid w:val="000E165E"/>
    <w:rsid w:val="000E2630"/>
    <w:rsid w:val="000E6284"/>
    <w:rsid w:val="000F0153"/>
    <w:rsid w:val="000F1CE2"/>
    <w:rsid w:val="000F3F1F"/>
    <w:rsid w:val="000F41C8"/>
    <w:rsid w:val="000F7AD8"/>
    <w:rsid w:val="00127454"/>
    <w:rsid w:val="001318EC"/>
    <w:rsid w:val="00134154"/>
    <w:rsid w:val="00135970"/>
    <w:rsid w:val="001359FB"/>
    <w:rsid w:val="001378C2"/>
    <w:rsid w:val="0014384C"/>
    <w:rsid w:val="00147492"/>
    <w:rsid w:val="00154406"/>
    <w:rsid w:val="0015452C"/>
    <w:rsid w:val="00166248"/>
    <w:rsid w:val="00173BB1"/>
    <w:rsid w:val="00190E5B"/>
    <w:rsid w:val="00191D56"/>
    <w:rsid w:val="001940EF"/>
    <w:rsid w:val="001A20BC"/>
    <w:rsid w:val="001A5BA8"/>
    <w:rsid w:val="001B17AE"/>
    <w:rsid w:val="001B67E2"/>
    <w:rsid w:val="001C0FEA"/>
    <w:rsid w:val="001C5E68"/>
    <w:rsid w:val="001E394D"/>
    <w:rsid w:val="001E3A85"/>
    <w:rsid w:val="001E6F00"/>
    <w:rsid w:val="002045E0"/>
    <w:rsid w:val="0020521C"/>
    <w:rsid w:val="002059B1"/>
    <w:rsid w:val="0020649E"/>
    <w:rsid w:val="002124F0"/>
    <w:rsid w:val="002128C9"/>
    <w:rsid w:val="002130B8"/>
    <w:rsid w:val="0022223E"/>
    <w:rsid w:val="00230B82"/>
    <w:rsid w:val="00235BF8"/>
    <w:rsid w:val="00241626"/>
    <w:rsid w:val="002455AB"/>
    <w:rsid w:val="00253644"/>
    <w:rsid w:val="00260DF1"/>
    <w:rsid w:val="00263684"/>
    <w:rsid w:val="00264102"/>
    <w:rsid w:val="002643E0"/>
    <w:rsid w:val="0027074E"/>
    <w:rsid w:val="00281542"/>
    <w:rsid w:val="00290E69"/>
    <w:rsid w:val="0029573D"/>
    <w:rsid w:val="002A2DC6"/>
    <w:rsid w:val="002A5FC7"/>
    <w:rsid w:val="002B118E"/>
    <w:rsid w:val="002B20A4"/>
    <w:rsid w:val="002B4E71"/>
    <w:rsid w:val="002B575B"/>
    <w:rsid w:val="002B727E"/>
    <w:rsid w:val="002C1682"/>
    <w:rsid w:val="002D0FE9"/>
    <w:rsid w:val="002D6BFE"/>
    <w:rsid w:val="002E093D"/>
    <w:rsid w:val="002E422C"/>
    <w:rsid w:val="002F11A3"/>
    <w:rsid w:val="002F1AF5"/>
    <w:rsid w:val="002F698D"/>
    <w:rsid w:val="0030259A"/>
    <w:rsid w:val="00304B57"/>
    <w:rsid w:val="00306631"/>
    <w:rsid w:val="00306F3E"/>
    <w:rsid w:val="00315463"/>
    <w:rsid w:val="003215A4"/>
    <w:rsid w:val="0032253C"/>
    <w:rsid w:val="00323982"/>
    <w:rsid w:val="003240C0"/>
    <w:rsid w:val="00324B75"/>
    <w:rsid w:val="00331421"/>
    <w:rsid w:val="00331741"/>
    <w:rsid w:val="00332609"/>
    <w:rsid w:val="0033317D"/>
    <w:rsid w:val="003365AD"/>
    <w:rsid w:val="00340055"/>
    <w:rsid w:val="00344F4F"/>
    <w:rsid w:val="00370548"/>
    <w:rsid w:val="003751D0"/>
    <w:rsid w:val="00386582"/>
    <w:rsid w:val="00393619"/>
    <w:rsid w:val="00396ED5"/>
    <w:rsid w:val="003A4C9C"/>
    <w:rsid w:val="003A7076"/>
    <w:rsid w:val="003A7330"/>
    <w:rsid w:val="003B253B"/>
    <w:rsid w:val="003B7820"/>
    <w:rsid w:val="003C36B0"/>
    <w:rsid w:val="003C589B"/>
    <w:rsid w:val="003D73C2"/>
    <w:rsid w:val="003E3AD6"/>
    <w:rsid w:val="003E556E"/>
    <w:rsid w:val="003E6C99"/>
    <w:rsid w:val="003E6FAA"/>
    <w:rsid w:val="003E734E"/>
    <w:rsid w:val="003F5018"/>
    <w:rsid w:val="00405D85"/>
    <w:rsid w:val="00424CBC"/>
    <w:rsid w:val="0043101E"/>
    <w:rsid w:val="0043314D"/>
    <w:rsid w:val="00441FAC"/>
    <w:rsid w:val="0044535E"/>
    <w:rsid w:val="00446642"/>
    <w:rsid w:val="00450045"/>
    <w:rsid w:val="004510A8"/>
    <w:rsid w:val="00453A53"/>
    <w:rsid w:val="00453C28"/>
    <w:rsid w:val="0045511F"/>
    <w:rsid w:val="00455EC1"/>
    <w:rsid w:val="0045624D"/>
    <w:rsid w:val="004601F5"/>
    <w:rsid w:val="004611D1"/>
    <w:rsid w:val="004735EC"/>
    <w:rsid w:val="00474049"/>
    <w:rsid w:val="004762D8"/>
    <w:rsid w:val="004934ED"/>
    <w:rsid w:val="004964E3"/>
    <w:rsid w:val="00496A40"/>
    <w:rsid w:val="004A3096"/>
    <w:rsid w:val="004B3E7C"/>
    <w:rsid w:val="004B653C"/>
    <w:rsid w:val="004B7DAA"/>
    <w:rsid w:val="004C38C2"/>
    <w:rsid w:val="004C62A5"/>
    <w:rsid w:val="004C7751"/>
    <w:rsid w:val="004D7EF3"/>
    <w:rsid w:val="004E031A"/>
    <w:rsid w:val="004E3A7E"/>
    <w:rsid w:val="004E5EBF"/>
    <w:rsid w:val="004F16DE"/>
    <w:rsid w:val="004F1807"/>
    <w:rsid w:val="004F1EE2"/>
    <w:rsid w:val="00502295"/>
    <w:rsid w:val="005041A6"/>
    <w:rsid w:val="00504DB0"/>
    <w:rsid w:val="005341BB"/>
    <w:rsid w:val="00536790"/>
    <w:rsid w:val="005440A8"/>
    <w:rsid w:val="005517A5"/>
    <w:rsid w:val="00555D6F"/>
    <w:rsid w:val="00557295"/>
    <w:rsid w:val="0056416A"/>
    <w:rsid w:val="005649B9"/>
    <w:rsid w:val="005666B8"/>
    <w:rsid w:val="005702E9"/>
    <w:rsid w:val="005743CC"/>
    <w:rsid w:val="00576C32"/>
    <w:rsid w:val="005772A1"/>
    <w:rsid w:val="00596748"/>
    <w:rsid w:val="005B1B28"/>
    <w:rsid w:val="005B4DAF"/>
    <w:rsid w:val="005C0FB0"/>
    <w:rsid w:val="005C2772"/>
    <w:rsid w:val="005C717A"/>
    <w:rsid w:val="005E1869"/>
    <w:rsid w:val="005E277E"/>
    <w:rsid w:val="005E37B8"/>
    <w:rsid w:val="005F1A60"/>
    <w:rsid w:val="005F676B"/>
    <w:rsid w:val="005F6D80"/>
    <w:rsid w:val="00600441"/>
    <w:rsid w:val="00605C36"/>
    <w:rsid w:val="0061417B"/>
    <w:rsid w:val="00621739"/>
    <w:rsid w:val="00627AD9"/>
    <w:rsid w:val="00632986"/>
    <w:rsid w:val="0063702F"/>
    <w:rsid w:val="00641B2E"/>
    <w:rsid w:val="006459DB"/>
    <w:rsid w:val="00662388"/>
    <w:rsid w:val="0067012A"/>
    <w:rsid w:val="0067310D"/>
    <w:rsid w:val="006743B6"/>
    <w:rsid w:val="00681FAC"/>
    <w:rsid w:val="00682399"/>
    <w:rsid w:val="00691116"/>
    <w:rsid w:val="00697DB8"/>
    <w:rsid w:val="006A4965"/>
    <w:rsid w:val="006B3B50"/>
    <w:rsid w:val="006C0256"/>
    <w:rsid w:val="006C3CA0"/>
    <w:rsid w:val="006C4561"/>
    <w:rsid w:val="006D0ACA"/>
    <w:rsid w:val="006E0188"/>
    <w:rsid w:val="006E01D5"/>
    <w:rsid w:val="006E1DC9"/>
    <w:rsid w:val="006E640B"/>
    <w:rsid w:val="006F0F55"/>
    <w:rsid w:val="0070142F"/>
    <w:rsid w:val="00705941"/>
    <w:rsid w:val="00707863"/>
    <w:rsid w:val="0072229E"/>
    <w:rsid w:val="00734EE6"/>
    <w:rsid w:val="00750A06"/>
    <w:rsid w:val="0076156B"/>
    <w:rsid w:val="00763542"/>
    <w:rsid w:val="00771019"/>
    <w:rsid w:val="00786145"/>
    <w:rsid w:val="00791867"/>
    <w:rsid w:val="007941C8"/>
    <w:rsid w:val="00794400"/>
    <w:rsid w:val="007A2494"/>
    <w:rsid w:val="007A55B1"/>
    <w:rsid w:val="007B2046"/>
    <w:rsid w:val="007B36F4"/>
    <w:rsid w:val="007C1B33"/>
    <w:rsid w:val="007C656A"/>
    <w:rsid w:val="007C76B4"/>
    <w:rsid w:val="007D22FE"/>
    <w:rsid w:val="007D34CC"/>
    <w:rsid w:val="007D5E71"/>
    <w:rsid w:val="007D65E2"/>
    <w:rsid w:val="007F223A"/>
    <w:rsid w:val="00805E6E"/>
    <w:rsid w:val="00807080"/>
    <w:rsid w:val="00811B2D"/>
    <w:rsid w:val="00812042"/>
    <w:rsid w:val="008153ED"/>
    <w:rsid w:val="00827095"/>
    <w:rsid w:val="00830086"/>
    <w:rsid w:val="008303AA"/>
    <w:rsid w:val="0083082B"/>
    <w:rsid w:val="008413C3"/>
    <w:rsid w:val="00841B51"/>
    <w:rsid w:val="008426F9"/>
    <w:rsid w:val="008432F3"/>
    <w:rsid w:val="008450C3"/>
    <w:rsid w:val="00846811"/>
    <w:rsid w:val="0085150B"/>
    <w:rsid w:val="00855989"/>
    <w:rsid w:val="00856E1B"/>
    <w:rsid w:val="00856E4E"/>
    <w:rsid w:val="00864A9D"/>
    <w:rsid w:val="00876A0F"/>
    <w:rsid w:val="00883F52"/>
    <w:rsid w:val="008959CC"/>
    <w:rsid w:val="008A5EF1"/>
    <w:rsid w:val="008A7DDB"/>
    <w:rsid w:val="008B44AF"/>
    <w:rsid w:val="008B7394"/>
    <w:rsid w:val="008B78E6"/>
    <w:rsid w:val="008C2350"/>
    <w:rsid w:val="008C3C0D"/>
    <w:rsid w:val="008C7B4A"/>
    <w:rsid w:val="008D3005"/>
    <w:rsid w:val="008E174F"/>
    <w:rsid w:val="008E2BF0"/>
    <w:rsid w:val="008E46DB"/>
    <w:rsid w:val="008E63D7"/>
    <w:rsid w:val="008E7868"/>
    <w:rsid w:val="008F1081"/>
    <w:rsid w:val="008F688E"/>
    <w:rsid w:val="0090161F"/>
    <w:rsid w:val="00904992"/>
    <w:rsid w:val="00904C84"/>
    <w:rsid w:val="00905FC0"/>
    <w:rsid w:val="00921CE3"/>
    <w:rsid w:val="0092447A"/>
    <w:rsid w:val="00925257"/>
    <w:rsid w:val="00925C42"/>
    <w:rsid w:val="009337DC"/>
    <w:rsid w:val="00933B17"/>
    <w:rsid w:val="00936F40"/>
    <w:rsid w:val="00937455"/>
    <w:rsid w:val="00950B73"/>
    <w:rsid w:val="009549DE"/>
    <w:rsid w:val="009614AC"/>
    <w:rsid w:val="009631D7"/>
    <w:rsid w:val="00965D3D"/>
    <w:rsid w:val="009740F4"/>
    <w:rsid w:val="00980FDE"/>
    <w:rsid w:val="00990D15"/>
    <w:rsid w:val="00991E6A"/>
    <w:rsid w:val="0099385E"/>
    <w:rsid w:val="00996B31"/>
    <w:rsid w:val="009A1785"/>
    <w:rsid w:val="009A4C53"/>
    <w:rsid w:val="009B0C12"/>
    <w:rsid w:val="009B66E1"/>
    <w:rsid w:val="009C44C5"/>
    <w:rsid w:val="009C5E8E"/>
    <w:rsid w:val="009D17E4"/>
    <w:rsid w:val="009D773A"/>
    <w:rsid w:val="009E2D1A"/>
    <w:rsid w:val="009E542D"/>
    <w:rsid w:val="00A11BF6"/>
    <w:rsid w:val="00A13971"/>
    <w:rsid w:val="00A149B2"/>
    <w:rsid w:val="00A16D3E"/>
    <w:rsid w:val="00A25704"/>
    <w:rsid w:val="00A27C5E"/>
    <w:rsid w:val="00A30241"/>
    <w:rsid w:val="00A31C5E"/>
    <w:rsid w:val="00A418A8"/>
    <w:rsid w:val="00A50BE2"/>
    <w:rsid w:val="00A55B72"/>
    <w:rsid w:val="00A61BC4"/>
    <w:rsid w:val="00A6262F"/>
    <w:rsid w:val="00A63D63"/>
    <w:rsid w:val="00A76DF0"/>
    <w:rsid w:val="00A802B6"/>
    <w:rsid w:val="00A84EF9"/>
    <w:rsid w:val="00AB3A13"/>
    <w:rsid w:val="00AB5D29"/>
    <w:rsid w:val="00AB70CF"/>
    <w:rsid w:val="00AB7FC8"/>
    <w:rsid w:val="00AC2038"/>
    <w:rsid w:val="00AC6165"/>
    <w:rsid w:val="00AD57E2"/>
    <w:rsid w:val="00AE0C35"/>
    <w:rsid w:val="00AE444C"/>
    <w:rsid w:val="00AF55A1"/>
    <w:rsid w:val="00B002C1"/>
    <w:rsid w:val="00B0125D"/>
    <w:rsid w:val="00B02B18"/>
    <w:rsid w:val="00B07FBF"/>
    <w:rsid w:val="00B17CEE"/>
    <w:rsid w:val="00B21F56"/>
    <w:rsid w:val="00B25E12"/>
    <w:rsid w:val="00B263D9"/>
    <w:rsid w:val="00B26C03"/>
    <w:rsid w:val="00B316EB"/>
    <w:rsid w:val="00B32691"/>
    <w:rsid w:val="00B34031"/>
    <w:rsid w:val="00B40635"/>
    <w:rsid w:val="00B40A3D"/>
    <w:rsid w:val="00B4683A"/>
    <w:rsid w:val="00B47CCA"/>
    <w:rsid w:val="00B55CFB"/>
    <w:rsid w:val="00B56C9A"/>
    <w:rsid w:val="00B57E90"/>
    <w:rsid w:val="00B61EE4"/>
    <w:rsid w:val="00B65CBA"/>
    <w:rsid w:val="00B72D21"/>
    <w:rsid w:val="00B752F5"/>
    <w:rsid w:val="00B75FEC"/>
    <w:rsid w:val="00B76D28"/>
    <w:rsid w:val="00B80950"/>
    <w:rsid w:val="00B80F52"/>
    <w:rsid w:val="00B84F99"/>
    <w:rsid w:val="00BA4887"/>
    <w:rsid w:val="00BA50E5"/>
    <w:rsid w:val="00BA55C1"/>
    <w:rsid w:val="00BC2D4D"/>
    <w:rsid w:val="00BC67CA"/>
    <w:rsid w:val="00BD07A1"/>
    <w:rsid w:val="00BD0FE4"/>
    <w:rsid w:val="00BE35FB"/>
    <w:rsid w:val="00BE6A9C"/>
    <w:rsid w:val="00BF13AF"/>
    <w:rsid w:val="00BF3F50"/>
    <w:rsid w:val="00BF3FEC"/>
    <w:rsid w:val="00BF44D2"/>
    <w:rsid w:val="00C03406"/>
    <w:rsid w:val="00C1549A"/>
    <w:rsid w:val="00C16149"/>
    <w:rsid w:val="00C17B3A"/>
    <w:rsid w:val="00C22491"/>
    <w:rsid w:val="00C34B9B"/>
    <w:rsid w:val="00C35560"/>
    <w:rsid w:val="00C3695C"/>
    <w:rsid w:val="00C42C0D"/>
    <w:rsid w:val="00C456BB"/>
    <w:rsid w:val="00C5007D"/>
    <w:rsid w:val="00C52D49"/>
    <w:rsid w:val="00C53A92"/>
    <w:rsid w:val="00C548C9"/>
    <w:rsid w:val="00C57456"/>
    <w:rsid w:val="00C652D0"/>
    <w:rsid w:val="00C66B01"/>
    <w:rsid w:val="00C674C7"/>
    <w:rsid w:val="00C714C6"/>
    <w:rsid w:val="00C73137"/>
    <w:rsid w:val="00C802BB"/>
    <w:rsid w:val="00C8035C"/>
    <w:rsid w:val="00C80BE3"/>
    <w:rsid w:val="00C842BE"/>
    <w:rsid w:val="00C84409"/>
    <w:rsid w:val="00C864E1"/>
    <w:rsid w:val="00C97CA6"/>
    <w:rsid w:val="00CA22CF"/>
    <w:rsid w:val="00CA386D"/>
    <w:rsid w:val="00CA6077"/>
    <w:rsid w:val="00CB37A0"/>
    <w:rsid w:val="00CB42FA"/>
    <w:rsid w:val="00CB70A0"/>
    <w:rsid w:val="00CC7D11"/>
    <w:rsid w:val="00CD786E"/>
    <w:rsid w:val="00CE0344"/>
    <w:rsid w:val="00CF568D"/>
    <w:rsid w:val="00CF5A82"/>
    <w:rsid w:val="00D170BB"/>
    <w:rsid w:val="00D2115A"/>
    <w:rsid w:val="00D24DD8"/>
    <w:rsid w:val="00D25E13"/>
    <w:rsid w:val="00D40CF1"/>
    <w:rsid w:val="00D4415C"/>
    <w:rsid w:val="00D5467E"/>
    <w:rsid w:val="00D6303B"/>
    <w:rsid w:val="00D7362E"/>
    <w:rsid w:val="00D73E91"/>
    <w:rsid w:val="00D872DA"/>
    <w:rsid w:val="00D918A9"/>
    <w:rsid w:val="00DA0EA5"/>
    <w:rsid w:val="00DA2DD1"/>
    <w:rsid w:val="00DB0331"/>
    <w:rsid w:val="00DB05BB"/>
    <w:rsid w:val="00DB710A"/>
    <w:rsid w:val="00DC6FB4"/>
    <w:rsid w:val="00DD3E8F"/>
    <w:rsid w:val="00DD49A9"/>
    <w:rsid w:val="00DE6DDA"/>
    <w:rsid w:val="00DF29AB"/>
    <w:rsid w:val="00E01E8B"/>
    <w:rsid w:val="00E03E9E"/>
    <w:rsid w:val="00E0594F"/>
    <w:rsid w:val="00E2436E"/>
    <w:rsid w:val="00E2685C"/>
    <w:rsid w:val="00E36B42"/>
    <w:rsid w:val="00E40561"/>
    <w:rsid w:val="00E42923"/>
    <w:rsid w:val="00E47C70"/>
    <w:rsid w:val="00E507C7"/>
    <w:rsid w:val="00E51332"/>
    <w:rsid w:val="00E52C90"/>
    <w:rsid w:val="00E55363"/>
    <w:rsid w:val="00E55913"/>
    <w:rsid w:val="00E6739C"/>
    <w:rsid w:val="00E705CD"/>
    <w:rsid w:val="00E727EA"/>
    <w:rsid w:val="00E81DE7"/>
    <w:rsid w:val="00E90728"/>
    <w:rsid w:val="00E91562"/>
    <w:rsid w:val="00E9326D"/>
    <w:rsid w:val="00E968CD"/>
    <w:rsid w:val="00E9749C"/>
    <w:rsid w:val="00EA45E7"/>
    <w:rsid w:val="00EB0521"/>
    <w:rsid w:val="00EB32AD"/>
    <w:rsid w:val="00EC127C"/>
    <w:rsid w:val="00EC3D04"/>
    <w:rsid w:val="00EC3E55"/>
    <w:rsid w:val="00ED4411"/>
    <w:rsid w:val="00ED495D"/>
    <w:rsid w:val="00EE319E"/>
    <w:rsid w:val="00EF05CA"/>
    <w:rsid w:val="00EF52A2"/>
    <w:rsid w:val="00EF623E"/>
    <w:rsid w:val="00F03C39"/>
    <w:rsid w:val="00F064BC"/>
    <w:rsid w:val="00F10A3E"/>
    <w:rsid w:val="00F2644A"/>
    <w:rsid w:val="00F3017B"/>
    <w:rsid w:val="00F46BE1"/>
    <w:rsid w:val="00F50F50"/>
    <w:rsid w:val="00F623C6"/>
    <w:rsid w:val="00F72D57"/>
    <w:rsid w:val="00F73D1F"/>
    <w:rsid w:val="00F749B8"/>
    <w:rsid w:val="00F764D7"/>
    <w:rsid w:val="00F77254"/>
    <w:rsid w:val="00F83DD2"/>
    <w:rsid w:val="00F842AC"/>
    <w:rsid w:val="00F86A0C"/>
    <w:rsid w:val="00F878AE"/>
    <w:rsid w:val="00F92D71"/>
    <w:rsid w:val="00F9450F"/>
    <w:rsid w:val="00FA2AE3"/>
    <w:rsid w:val="00FB009A"/>
    <w:rsid w:val="00FB12BC"/>
    <w:rsid w:val="00FB32EA"/>
    <w:rsid w:val="00FB3A69"/>
    <w:rsid w:val="00FB4672"/>
    <w:rsid w:val="00FB595D"/>
    <w:rsid w:val="00FC3260"/>
    <w:rsid w:val="00FD0181"/>
    <w:rsid w:val="00FD77CA"/>
    <w:rsid w:val="00FD7EB1"/>
    <w:rsid w:val="00FE2A1E"/>
    <w:rsid w:val="00FE33FB"/>
    <w:rsid w:val="00FE7A44"/>
    <w:rsid w:val="00FF4C21"/>
    <w:rsid w:val="00FF4F5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3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5"/>
    <w:pPr>
      <w:spacing w:after="0" w:line="312" w:lineRule="auto"/>
      <w:jc w:val="both"/>
    </w:pPr>
    <w:rPr>
      <w:rFonts w:ascii="Book Antiqua" w:hAnsi="Book Antiqua"/>
      <w:sz w:val="24"/>
    </w:rPr>
  </w:style>
  <w:style w:type="paragraph" w:styleId="Heading1">
    <w:name w:val="heading 1"/>
    <w:aliases w:val="Section,HEADING 1,Section Heading,MainHeader,1 ghost,g,Main heading,App1,1,h1,L1,Outline1,Chapter Heading,Text Heading 18pt,Full Page Heading 1,toc1a,AAR Level 1 Heading,Article Heading,EASI 1,Hoofdstuk,Heading 1-nonum,Headline"/>
    <w:basedOn w:val="Normal"/>
    <w:next w:val="Normal"/>
    <w:link w:val="Heading1Char"/>
    <w:uiPriority w:val="9"/>
    <w:qFormat/>
    <w:rsid w:val="009549DE"/>
    <w:pPr>
      <w:keepNext/>
      <w:keepLines/>
      <w:numPr>
        <w:numId w:val="2"/>
      </w:numPr>
      <w:pBdr>
        <w:bottom w:val="single" w:sz="4" w:space="1" w:color="auto"/>
      </w:pBdr>
      <w:spacing w:before="480" w:line="240" w:lineRule="auto"/>
      <w:outlineLvl w:val="0"/>
    </w:pPr>
    <w:rPr>
      <w:rFonts w:eastAsiaTheme="majorEastAsia" w:cstheme="majorBidi"/>
      <w:b/>
      <w:bCs/>
      <w:color w:val="4F81BD" w:themeColor="accent1"/>
      <w:sz w:val="32"/>
      <w:szCs w:val="28"/>
    </w:rPr>
  </w:style>
  <w:style w:type="paragraph" w:styleId="Heading2">
    <w:name w:val="heading 2"/>
    <w:basedOn w:val="Normal"/>
    <w:next w:val="Normal"/>
    <w:link w:val="Heading2Char"/>
    <w:uiPriority w:val="9"/>
    <w:unhideWhenUsed/>
    <w:qFormat/>
    <w:rsid w:val="000B4251"/>
    <w:pPr>
      <w:keepNext/>
      <w:keepLines/>
      <w:numPr>
        <w:ilvl w:val="1"/>
        <w:numId w:val="2"/>
      </w:numPr>
      <w:spacing w:before="200"/>
      <w:outlineLvl w:val="1"/>
    </w:pPr>
    <w:rPr>
      <w:rFonts w:eastAsiaTheme="majorEastAsia" w:cstheme="majorBidi"/>
      <w:b/>
      <w:bCs/>
      <w:sz w:val="26"/>
      <w:szCs w:val="26"/>
    </w:rPr>
  </w:style>
  <w:style w:type="paragraph" w:styleId="Heading3">
    <w:name w:val="heading 3"/>
    <w:aliases w:val="Minor,Client,C Heading,b,Level 1 - 1,(Appendix Nbr),Sub Sub Heading"/>
    <w:basedOn w:val="Normal"/>
    <w:next w:val="Normal"/>
    <w:link w:val="Heading3Char"/>
    <w:uiPriority w:val="9"/>
    <w:unhideWhenUsed/>
    <w:qFormat/>
    <w:rsid w:val="005F6D80"/>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nhideWhenUsed/>
    <w:qFormat/>
    <w:rsid w:val="0039361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361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361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361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361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361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F50"/>
    <w:pPr>
      <w:tabs>
        <w:tab w:val="center" w:pos="4513"/>
        <w:tab w:val="right" w:pos="9026"/>
      </w:tabs>
      <w:spacing w:line="240" w:lineRule="auto"/>
    </w:pPr>
  </w:style>
  <w:style w:type="character" w:customStyle="1" w:styleId="HeaderChar">
    <w:name w:val="Header Char"/>
    <w:basedOn w:val="DefaultParagraphFont"/>
    <w:link w:val="Header"/>
    <w:uiPriority w:val="99"/>
    <w:rsid w:val="00F50F50"/>
  </w:style>
  <w:style w:type="paragraph" w:styleId="Footer">
    <w:name w:val="footer"/>
    <w:basedOn w:val="Normal"/>
    <w:link w:val="FooterChar"/>
    <w:uiPriority w:val="99"/>
    <w:unhideWhenUsed/>
    <w:rsid w:val="00F50F50"/>
    <w:pPr>
      <w:tabs>
        <w:tab w:val="center" w:pos="4513"/>
        <w:tab w:val="right" w:pos="9026"/>
      </w:tabs>
      <w:spacing w:line="240" w:lineRule="auto"/>
    </w:pPr>
  </w:style>
  <w:style w:type="character" w:customStyle="1" w:styleId="FooterChar">
    <w:name w:val="Footer Char"/>
    <w:basedOn w:val="DefaultParagraphFont"/>
    <w:link w:val="Footer"/>
    <w:uiPriority w:val="99"/>
    <w:rsid w:val="00F50F50"/>
  </w:style>
  <w:style w:type="paragraph" w:styleId="BalloonText">
    <w:name w:val="Balloon Text"/>
    <w:basedOn w:val="Normal"/>
    <w:link w:val="BalloonTextChar"/>
    <w:uiPriority w:val="99"/>
    <w:semiHidden/>
    <w:unhideWhenUsed/>
    <w:rsid w:val="00F50F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50"/>
    <w:rPr>
      <w:rFonts w:ascii="Tahoma" w:hAnsi="Tahoma" w:cs="Tahoma"/>
      <w:sz w:val="16"/>
      <w:szCs w:val="16"/>
    </w:rPr>
  </w:style>
  <w:style w:type="table" w:styleId="TableGrid">
    <w:name w:val="Table Grid"/>
    <w:basedOn w:val="TableNormal"/>
    <w:uiPriority w:val="59"/>
    <w:rsid w:val="00536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772A1"/>
    <w:pPr>
      <w:ind w:left="720"/>
      <w:contextualSpacing/>
    </w:pPr>
  </w:style>
  <w:style w:type="character" w:customStyle="1" w:styleId="Heading1Char">
    <w:name w:val="Heading 1 Char"/>
    <w:aliases w:val="Section Char,HEADING 1 Char,Section Heading Char,MainHeader Char,1 ghost Char,g Char,Main heading Char,App1 Char,1 Char,h1 Char,L1 Char,Outline1 Char,Chapter Heading Char,Text Heading 18pt Char,Full Page Heading 1 Char,toc1a Char"/>
    <w:basedOn w:val="DefaultParagraphFont"/>
    <w:link w:val="Heading1"/>
    <w:uiPriority w:val="9"/>
    <w:rsid w:val="009549DE"/>
    <w:rPr>
      <w:rFonts w:ascii="Book Antiqua" w:eastAsiaTheme="majorEastAsia" w:hAnsi="Book Antiqua" w:cstheme="majorBidi"/>
      <w:b/>
      <w:bCs/>
      <w:color w:val="4F81BD" w:themeColor="accent1"/>
      <w:sz w:val="32"/>
      <w:szCs w:val="28"/>
    </w:rPr>
  </w:style>
  <w:style w:type="paragraph" w:customStyle="1" w:styleId="MYTHeading1">
    <w:name w:val="MYT Heading 1"/>
    <w:basedOn w:val="Heading1"/>
    <w:link w:val="MYTHeading1Char"/>
    <w:rsid w:val="007D22FE"/>
    <w:pPr>
      <w:shd w:val="clear" w:color="auto" w:fill="CCC0D9" w:themeFill="accent4" w:themeFillTint="66"/>
      <w:jc w:val="center"/>
    </w:pPr>
    <w:rPr>
      <w:rFonts w:ascii="Times New Roman" w:hAnsi="Times New Roman" w:cs="Times New Roman"/>
      <w:u w:val="single"/>
    </w:rPr>
  </w:style>
  <w:style w:type="character" w:customStyle="1" w:styleId="Heading2Char">
    <w:name w:val="Heading 2 Char"/>
    <w:basedOn w:val="DefaultParagraphFont"/>
    <w:link w:val="Heading2"/>
    <w:uiPriority w:val="9"/>
    <w:rsid w:val="000B4251"/>
    <w:rPr>
      <w:rFonts w:ascii="Book Antiqua" w:eastAsiaTheme="majorEastAsia" w:hAnsi="Book Antiqua" w:cstheme="majorBidi"/>
      <w:b/>
      <w:bCs/>
      <w:sz w:val="26"/>
      <w:szCs w:val="26"/>
    </w:rPr>
  </w:style>
  <w:style w:type="character" w:customStyle="1" w:styleId="MYTHeading1Char">
    <w:name w:val="MYT Heading 1 Char"/>
    <w:basedOn w:val="Heading1Char"/>
    <w:link w:val="MYTHeading1"/>
    <w:rsid w:val="007D22FE"/>
    <w:rPr>
      <w:rFonts w:ascii="Times New Roman" w:eastAsiaTheme="majorEastAsia" w:hAnsi="Times New Roman" w:cs="Times New Roman"/>
      <w:b/>
      <w:bCs/>
      <w:color w:val="4F81BD" w:themeColor="accent1"/>
      <w:sz w:val="32"/>
      <w:szCs w:val="28"/>
      <w:u w:val="single"/>
      <w:shd w:val="clear" w:color="auto" w:fill="CCC0D9" w:themeFill="accent4" w:themeFillTint="66"/>
    </w:rPr>
  </w:style>
  <w:style w:type="paragraph" w:customStyle="1" w:styleId="MYTHeading2">
    <w:name w:val="MYT Heading 2"/>
    <w:basedOn w:val="Heading2"/>
    <w:link w:val="MYTHeading2Char"/>
    <w:qFormat/>
    <w:rsid w:val="00393619"/>
    <w:pPr>
      <w:numPr>
        <w:ilvl w:val="0"/>
        <w:numId w:val="0"/>
      </w:numPr>
    </w:pPr>
    <w:rPr>
      <w:rFonts w:cs="Times New Roman"/>
      <w:sz w:val="24"/>
    </w:rPr>
  </w:style>
  <w:style w:type="paragraph" w:customStyle="1" w:styleId="1MYTHeading">
    <w:name w:val="1 MYT Heading"/>
    <w:basedOn w:val="Heading1"/>
    <w:link w:val="1MYTHeadingChar"/>
    <w:rsid w:val="008E63D7"/>
    <w:pPr>
      <w:numPr>
        <w:numId w:val="1"/>
      </w:numPr>
      <w:shd w:val="clear" w:color="auto" w:fill="CCC0D9" w:themeFill="accent4" w:themeFillTint="66"/>
      <w:ind w:left="360"/>
      <w:jc w:val="center"/>
    </w:pPr>
    <w:rPr>
      <w:rFonts w:eastAsia="Times New Roman" w:cs="Times New Roman"/>
      <w:lang w:val="en-US"/>
    </w:rPr>
  </w:style>
  <w:style w:type="character" w:customStyle="1" w:styleId="MYTHeading2Char">
    <w:name w:val="MYT Heading 2 Char"/>
    <w:basedOn w:val="Heading2Char"/>
    <w:link w:val="MYTHeading2"/>
    <w:rsid w:val="00393619"/>
    <w:rPr>
      <w:rFonts w:ascii="Book Antiqua" w:eastAsiaTheme="majorEastAsia" w:hAnsi="Book Antiqua" w:cs="Times New Roman"/>
      <w:b/>
      <w:bCs/>
      <w:sz w:val="24"/>
      <w:szCs w:val="26"/>
    </w:rPr>
  </w:style>
  <w:style w:type="paragraph" w:styleId="TOCHeading">
    <w:name w:val="TOC Heading"/>
    <w:basedOn w:val="Heading1"/>
    <w:next w:val="Normal"/>
    <w:uiPriority w:val="39"/>
    <w:unhideWhenUsed/>
    <w:qFormat/>
    <w:rsid w:val="006B3B50"/>
    <w:pPr>
      <w:outlineLvl w:val="9"/>
    </w:pPr>
    <w:rPr>
      <w:lang w:val="en-US" w:eastAsia="ja-JP"/>
    </w:rPr>
  </w:style>
  <w:style w:type="character" w:customStyle="1" w:styleId="1MYTHeadingChar">
    <w:name w:val="1 MYT Heading Char"/>
    <w:basedOn w:val="Heading1Char"/>
    <w:link w:val="1MYTHeading"/>
    <w:rsid w:val="008E63D7"/>
    <w:rPr>
      <w:rFonts w:ascii="Book Antiqua" w:eastAsia="Times New Roman" w:hAnsi="Book Antiqua" w:cs="Times New Roman"/>
      <w:b/>
      <w:bCs/>
      <w:color w:val="4F81BD" w:themeColor="accent1"/>
      <w:sz w:val="32"/>
      <w:szCs w:val="28"/>
      <w:shd w:val="clear" w:color="auto" w:fill="CCC0D9" w:themeFill="accent4" w:themeFillTint="66"/>
      <w:lang w:val="en-US"/>
    </w:rPr>
  </w:style>
  <w:style w:type="paragraph" w:styleId="TOC1">
    <w:name w:val="toc 1"/>
    <w:basedOn w:val="Normal"/>
    <w:next w:val="Normal"/>
    <w:autoRedefine/>
    <w:uiPriority w:val="39"/>
    <w:unhideWhenUsed/>
    <w:rsid w:val="006B3B50"/>
    <w:pPr>
      <w:spacing w:after="100"/>
    </w:pPr>
  </w:style>
  <w:style w:type="paragraph" w:styleId="TOC2">
    <w:name w:val="toc 2"/>
    <w:basedOn w:val="Normal"/>
    <w:next w:val="Normal"/>
    <w:autoRedefine/>
    <w:uiPriority w:val="39"/>
    <w:unhideWhenUsed/>
    <w:rsid w:val="006B3B50"/>
    <w:pPr>
      <w:spacing w:after="100"/>
      <w:ind w:left="220"/>
    </w:pPr>
  </w:style>
  <w:style w:type="character" w:styleId="Hyperlink">
    <w:name w:val="Hyperlink"/>
    <w:basedOn w:val="DefaultParagraphFont"/>
    <w:uiPriority w:val="99"/>
    <w:unhideWhenUsed/>
    <w:rsid w:val="006B3B50"/>
    <w:rPr>
      <w:color w:val="0000FF" w:themeColor="hyperlink"/>
      <w:u w:val="single"/>
    </w:rPr>
  </w:style>
  <w:style w:type="paragraph" w:styleId="IntenseQuote">
    <w:name w:val="Intense Quote"/>
    <w:basedOn w:val="Heading1"/>
    <w:next w:val="Heading1"/>
    <w:link w:val="IntenseQuoteChar"/>
    <w:uiPriority w:val="30"/>
    <w:rsid w:val="000B4251"/>
    <w:pPr>
      <w:pBdr>
        <w:bottom w:val="single" w:sz="4" w:space="4" w:color="4F81BD" w:themeColor="accent1"/>
      </w:pBdr>
      <w:spacing w:before="200" w:after="280"/>
    </w:pPr>
    <w:rPr>
      <w:bCs w:val="0"/>
      <w:iCs/>
      <w:color w:val="244061" w:themeColor="accent1" w:themeShade="80"/>
    </w:rPr>
  </w:style>
  <w:style w:type="character" w:customStyle="1" w:styleId="IntenseQuoteChar">
    <w:name w:val="Intense Quote Char"/>
    <w:basedOn w:val="DefaultParagraphFont"/>
    <w:link w:val="IntenseQuote"/>
    <w:uiPriority w:val="30"/>
    <w:rsid w:val="000B4251"/>
    <w:rPr>
      <w:rFonts w:ascii="Book Antiqua" w:eastAsiaTheme="majorEastAsia" w:hAnsi="Book Antiqua" w:cstheme="majorBidi"/>
      <w:b/>
      <w:iCs/>
      <w:color w:val="244061" w:themeColor="accent1" w:themeShade="80"/>
      <w:sz w:val="32"/>
      <w:szCs w:val="28"/>
    </w:rPr>
  </w:style>
  <w:style w:type="character" w:customStyle="1" w:styleId="Heading3Char">
    <w:name w:val="Heading 3 Char"/>
    <w:aliases w:val="Minor Char,Client Char,C Heading Char,b Char,Level 1 - 1 Char,(Appendix Nbr) Char,Sub Sub Heading Char"/>
    <w:basedOn w:val="DefaultParagraphFont"/>
    <w:link w:val="Heading3"/>
    <w:uiPriority w:val="9"/>
    <w:rsid w:val="005F6D80"/>
    <w:rPr>
      <w:rFonts w:ascii="Book Antiqua" w:eastAsiaTheme="majorEastAsia" w:hAnsi="Book Antiqua" w:cstheme="majorBidi"/>
      <w:b/>
      <w:bCs/>
      <w:sz w:val="24"/>
    </w:rPr>
  </w:style>
  <w:style w:type="character" w:customStyle="1" w:styleId="Heading4Char">
    <w:name w:val="Heading 4 Char"/>
    <w:basedOn w:val="DefaultParagraphFont"/>
    <w:link w:val="Heading4"/>
    <w:rsid w:val="0039361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39361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9361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9361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936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361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66B01"/>
    <w:pPr>
      <w:spacing w:line="240" w:lineRule="auto"/>
      <w:jc w:val="center"/>
    </w:pPr>
    <w:rPr>
      <w:b/>
      <w:bCs/>
      <w:sz w:val="22"/>
      <w:szCs w:val="18"/>
    </w:rPr>
  </w:style>
  <w:style w:type="table" w:customStyle="1" w:styleId="LightShading-Accent11">
    <w:name w:val="Light Shading - Accent 11"/>
    <w:basedOn w:val="TableNormal"/>
    <w:uiPriority w:val="60"/>
    <w:rsid w:val="00F72D5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F72D5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F72D5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1">
    <w:name w:val="Light Shading1"/>
    <w:basedOn w:val="TableNormal"/>
    <w:uiPriority w:val="60"/>
    <w:rsid w:val="00F72D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073487"/>
    <w:pPr>
      <w:spacing w:after="0" w:line="240" w:lineRule="auto"/>
    </w:pPr>
    <w:rPr>
      <w:lang w:val="en-US"/>
    </w:rPr>
  </w:style>
  <w:style w:type="paragraph" w:styleId="TableofFigures">
    <w:name w:val="table of figures"/>
    <w:basedOn w:val="Normal"/>
    <w:next w:val="Normal"/>
    <w:uiPriority w:val="99"/>
    <w:unhideWhenUsed/>
    <w:rsid w:val="00230B82"/>
  </w:style>
  <w:style w:type="paragraph" w:customStyle="1" w:styleId="Verbatium">
    <w:name w:val="Verbatium"/>
    <w:basedOn w:val="Normal"/>
    <w:link w:val="VerbatiumChar"/>
    <w:qFormat/>
    <w:rsid w:val="00007902"/>
    <w:pPr>
      <w:spacing w:line="360" w:lineRule="auto"/>
      <w:ind w:left="993"/>
    </w:pPr>
    <w:rPr>
      <w:rFonts w:eastAsia="Times New Roman" w:cs="Times New Roman"/>
      <w:i/>
      <w:szCs w:val="24"/>
      <w:lang w:val="en-GB" w:eastAsia="ar-SA"/>
    </w:rPr>
  </w:style>
  <w:style w:type="paragraph" w:customStyle="1" w:styleId="Default">
    <w:name w:val="Default"/>
    <w:rsid w:val="000512A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VerbatiumChar">
    <w:name w:val="Verbatium Char"/>
    <w:basedOn w:val="DefaultParagraphFont"/>
    <w:link w:val="Verbatium"/>
    <w:rsid w:val="00007902"/>
    <w:rPr>
      <w:rFonts w:ascii="Book Antiqua" w:eastAsia="Times New Roman" w:hAnsi="Book Antiqua" w:cs="Times New Roman"/>
      <w:i/>
      <w:sz w:val="24"/>
      <w:szCs w:val="24"/>
      <w:lang w:val="en-GB" w:eastAsia="ar-SA"/>
    </w:rPr>
  </w:style>
  <w:style w:type="paragraph" w:customStyle="1" w:styleId="Table">
    <w:name w:val="Table"/>
    <w:basedOn w:val="Normal"/>
    <w:link w:val="TableChar"/>
    <w:qFormat/>
    <w:rsid w:val="007B36F4"/>
    <w:pPr>
      <w:jc w:val="left"/>
    </w:pPr>
  </w:style>
  <w:style w:type="paragraph" w:styleId="Revision">
    <w:name w:val="Revision"/>
    <w:hidden/>
    <w:uiPriority w:val="99"/>
    <w:semiHidden/>
    <w:rsid w:val="00C66B01"/>
    <w:pPr>
      <w:spacing w:after="0" w:line="240" w:lineRule="auto"/>
    </w:pPr>
    <w:rPr>
      <w:rFonts w:ascii="Book Antiqua" w:hAnsi="Book Antiqua"/>
      <w:sz w:val="24"/>
    </w:rPr>
  </w:style>
  <w:style w:type="character" w:customStyle="1" w:styleId="TableChar">
    <w:name w:val="Table Char"/>
    <w:basedOn w:val="DefaultParagraphFont"/>
    <w:link w:val="Table"/>
    <w:rsid w:val="007B36F4"/>
    <w:rPr>
      <w:rFonts w:ascii="Book Antiqua" w:hAnsi="Book Antiqua"/>
      <w:sz w:val="24"/>
    </w:rPr>
  </w:style>
  <w:style w:type="character" w:styleId="FollowedHyperlink">
    <w:name w:val="FollowedHyperlink"/>
    <w:basedOn w:val="DefaultParagraphFont"/>
    <w:uiPriority w:val="99"/>
    <w:semiHidden/>
    <w:unhideWhenUsed/>
    <w:rsid w:val="00C66B01"/>
    <w:rPr>
      <w:color w:val="800080" w:themeColor="followedHyperlink"/>
      <w:u w:val="single"/>
    </w:rPr>
  </w:style>
  <w:style w:type="character" w:styleId="CommentReference">
    <w:name w:val="annotation reference"/>
    <w:basedOn w:val="DefaultParagraphFont"/>
    <w:uiPriority w:val="99"/>
    <w:semiHidden/>
    <w:unhideWhenUsed/>
    <w:rsid w:val="00455EC1"/>
    <w:rPr>
      <w:sz w:val="16"/>
      <w:szCs w:val="16"/>
    </w:rPr>
  </w:style>
  <w:style w:type="paragraph" w:styleId="CommentText">
    <w:name w:val="annotation text"/>
    <w:basedOn w:val="Normal"/>
    <w:link w:val="CommentTextChar"/>
    <w:uiPriority w:val="99"/>
    <w:semiHidden/>
    <w:unhideWhenUsed/>
    <w:rsid w:val="00455EC1"/>
    <w:pPr>
      <w:spacing w:line="240" w:lineRule="auto"/>
    </w:pPr>
    <w:rPr>
      <w:sz w:val="20"/>
      <w:szCs w:val="20"/>
    </w:rPr>
  </w:style>
  <w:style w:type="character" w:customStyle="1" w:styleId="CommentTextChar">
    <w:name w:val="Comment Text Char"/>
    <w:basedOn w:val="DefaultParagraphFont"/>
    <w:link w:val="CommentText"/>
    <w:uiPriority w:val="99"/>
    <w:semiHidden/>
    <w:rsid w:val="00455EC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55EC1"/>
    <w:rPr>
      <w:b/>
      <w:bCs/>
    </w:rPr>
  </w:style>
  <w:style w:type="character" w:customStyle="1" w:styleId="CommentSubjectChar">
    <w:name w:val="Comment Subject Char"/>
    <w:basedOn w:val="CommentTextChar"/>
    <w:link w:val="CommentSubject"/>
    <w:uiPriority w:val="99"/>
    <w:semiHidden/>
    <w:rsid w:val="00455EC1"/>
    <w:rPr>
      <w:rFonts w:ascii="Book Antiqua" w:hAnsi="Book Antiqua"/>
      <w:b/>
      <w:bCs/>
      <w:sz w:val="20"/>
      <w:szCs w:val="20"/>
    </w:rPr>
  </w:style>
  <w:style w:type="paragraph" w:styleId="PlainText">
    <w:name w:val="Plain Text"/>
    <w:basedOn w:val="Normal"/>
    <w:link w:val="PlainTextChar"/>
    <w:rsid w:val="005666B8"/>
    <w:pPr>
      <w:spacing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666B8"/>
    <w:rPr>
      <w:rFonts w:ascii="Courier New" w:eastAsia="Times New Roman" w:hAnsi="Courier New" w:cs="Courier New"/>
      <w:sz w:val="20"/>
      <w:szCs w:val="20"/>
      <w:lang w:val="en-US"/>
    </w:rPr>
  </w:style>
  <w:style w:type="paragraph" w:customStyle="1" w:styleId="StyleJustifiedLinespacingMultiple13li">
    <w:name w:val="Style Justified Line spacing:  Multiple 1.3 li"/>
    <w:basedOn w:val="Normal"/>
    <w:rsid w:val="005666B8"/>
    <w:rPr>
      <w:rFonts w:ascii="Times New Roman" w:eastAsia="Times New Roman" w:hAnsi="Times New Roman" w:cs="Times New Roman"/>
      <w:szCs w:val="20"/>
      <w:lang w:val="en-GB"/>
    </w:rPr>
  </w:style>
  <w:style w:type="paragraph" w:styleId="Title">
    <w:name w:val="Title"/>
    <w:basedOn w:val="Normal"/>
    <w:next w:val="Normal"/>
    <w:link w:val="TitleChar"/>
    <w:uiPriority w:val="10"/>
    <w:qFormat/>
    <w:rsid w:val="00D73E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3E91"/>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6743B6"/>
    <w:rPr>
      <w:rFonts w:ascii="Book Antiqua" w:hAnsi="Book Antiqua"/>
      <w:sz w:val="24"/>
    </w:rPr>
  </w:style>
  <w:style w:type="paragraph" w:styleId="BodyText">
    <w:name w:val="Body Text"/>
    <w:basedOn w:val="Normal"/>
    <w:link w:val="BodyTextChar"/>
    <w:uiPriority w:val="99"/>
    <w:unhideWhenUsed/>
    <w:rsid w:val="00F9450F"/>
    <w:pPr>
      <w:spacing w:line="240" w:lineRule="auto"/>
      <w:jc w:val="left"/>
    </w:pPr>
    <w:rPr>
      <w:rFonts w:asciiTheme="minorHAnsi" w:eastAsiaTheme="minorEastAsia" w:hAnsiTheme="minorHAnsi" w:cs="Times New Roman"/>
      <w:szCs w:val="24"/>
      <w:lang w:val="en-US"/>
    </w:rPr>
  </w:style>
  <w:style w:type="character" w:customStyle="1" w:styleId="BodyTextChar">
    <w:name w:val="Body Text Char"/>
    <w:basedOn w:val="DefaultParagraphFont"/>
    <w:link w:val="BodyText"/>
    <w:uiPriority w:val="99"/>
    <w:rsid w:val="00F9450F"/>
    <w:rPr>
      <w:rFonts w:eastAsiaTheme="minorEastAsia" w:cs="Times New Roman"/>
      <w:sz w:val="24"/>
      <w:szCs w:val="24"/>
      <w:lang w:val="en-US"/>
    </w:rPr>
  </w:style>
  <w:style w:type="paragraph" w:styleId="TOC3">
    <w:name w:val="toc 3"/>
    <w:basedOn w:val="Normal"/>
    <w:next w:val="Normal"/>
    <w:autoRedefine/>
    <w:uiPriority w:val="39"/>
    <w:unhideWhenUsed/>
    <w:rsid w:val="00EF05C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5"/>
    <w:pPr>
      <w:spacing w:after="0" w:line="312" w:lineRule="auto"/>
      <w:jc w:val="both"/>
    </w:pPr>
    <w:rPr>
      <w:rFonts w:ascii="Book Antiqua" w:hAnsi="Book Antiqua"/>
      <w:sz w:val="24"/>
    </w:rPr>
  </w:style>
  <w:style w:type="paragraph" w:styleId="Heading1">
    <w:name w:val="heading 1"/>
    <w:aliases w:val="Section,HEADING 1,Section Heading,MainHeader,1 ghost,g,Main heading,App1,1,h1,L1,Outline1,Chapter Heading,Text Heading 18pt,Full Page Heading 1,toc1a,AAR Level 1 Heading,Article Heading,EASI 1,Hoofdstuk,Heading 1-nonum,Headline"/>
    <w:basedOn w:val="Normal"/>
    <w:next w:val="Normal"/>
    <w:link w:val="Heading1Char"/>
    <w:uiPriority w:val="9"/>
    <w:qFormat/>
    <w:rsid w:val="009549DE"/>
    <w:pPr>
      <w:keepNext/>
      <w:keepLines/>
      <w:numPr>
        <w:numId w:val="2"/>
      </w:numPr>
      <w:pBdr>
        <w:bottom w:val="single" w:sz="4" w:space="1" w:color="auto"/>
      </w:pBdr>
      <w:spacing w:before="480" w:line="240" w:lineRule="auto"/>
      <w:outlineLvl w:val="0"/>
    </w:pPr>
    <w:rPr>
      <w:rFonts w:eastAsiaTheme="majorEastAsia" w:cstheme="majorBidi"/>
      <w:b/>
      <w:bCs/>
      <w:color w:val="4F81BD" w:themeColor="accent1"/>
      <w:sz w:val="32"/>
      <w:szCs w:val="28"/>
    </w:rPr>
  </w:style>
  <w:style w:type="paragraph" w:styleId="Heading2">
    <w:name w:val="heading 2"/>
    <w:basedOn w:val="Normal"/>
    <w:next w:val="Normal"/>
    <w:link w:val="Heading2Char"/>
    <w:uiPriority w:val="9"/>
    <w:unhideWhenUsed/>
    <w:qFormat/>
    <w:rsid w:val="000B4251"/>
    <w:pPr>
      <w:keepNext/>
      <w:keepLines/>
      <w:numPr>
        <w:ilvl w:val="1"/>
        <w:numId w:val="2"/>
      </w:numPr>
      <w:spacing w:before="200"/>
      <w:outlineLvl w:val="1"/>
    </w:pPr>
    <w:rPr>
      <w:rFonts w:eastAsiaTheme="majorEastAsia" w:cstheme="majorBidi"/>
      <w:b/>
      <w:bCs/>
      <w:sz w:val="26"/>
      <w:szCs w:val="26"/>
    </w:rPr>
  </w:style>
  <w:style w:type="paragraph" w:styleId="Heading3">
    <w:name w:val="heading 3"/>
    <w:aliases w:val="Minor,Client,C Heading,b,Level 1 - 1,(Appendix Nbr),Sub Sub Heading"/>
    <w:basedOn w:val="Normal"/>
    <w:next w:val="Normal"/>
    <w:link w:val="Heading3Char"/>
    <w:uiPriority w:val="9"/>
    <w:unhideWhenUsed/>
    <w:qFormat/>
    <w:rsid w:val="005F6D80"/>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nhideWhenUsed/>
    <w:qFormat/>
    <w:rsid w:val="0039361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361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361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361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361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361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F50"/>
    <w:pPr>
      <w:tabs>
        <w:tab w:val="center" w:pos="4513"/>
        <w:tab w:val="right" w:pos="9026"/>
      </w:tabs>
      <w:spacing w:line="240" w:lineRule="auto"/>
    </w:pPr>
  </w:style>
  <w:style w:type="character" w:customStyle="1" w:styleId="HeaderChar">
    <w:name w:val="Header Char"/>
    <w:basedOn w:val="DefaultParagraphFont"/>
    <w:link w:val="Header"/>
    <w:uiPriority w:val="99"/>
    <w:rsid w:val="00F50F50"/>
  </w:style>
  <w:style w:type="paragraph" w:styleId="Footer">
    <w:name w:val="footer"/>
    <w:basedOn w:val="Normal"/>
    <w:link w:val="FooterChar"/>
    <w:uiPriority w:val="99"/>
    <w:unhideWhenUsed/>
    <w:rsid w:val="00F50F50"/>
    <w:pPr>
      <w:tabs>
        <w:tab w:val="center" w:pos="4513"/>
        <w:tab w:val="right" w:pos="9026"/>
      </w:tabs>
      <w:spacing w:line="240" w:lineRule="auto"/>
    </w:pPr>
  </w:style>
  <w:style w:type="character" w:customStyle="1" w:styleId="FooterChar">
    <w:name w:val="Footer Char"/>
    <w:basedOn w:val="DefaultParagraphFont"/>
    <w:link w:val="Footer"/>
    <w:uiPriority w:val="99"/>
    <w:rsid w:val="00F50F50"/>
  </w:style>
  <w:style w:type="paragraph" w:styleId="BalloonText">
    <w:name w:val="Balloon Text"/>
    <w:basedOn w:val="Normal"/>
    <w:link w:val="BalloonTextChar"/>
    <w:uiPriority w:val="99"/>
    <w:semiHidden/>
    <w:unhideWhenUsed/>
    <w:rsid w:val="00F50F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F50"/>
    <w:rPr>
      <w:rFonts w:ascii="Tahoma" w:hAnsi="Tahoma" w:cs="Tahoma"/>
      <w:sz w:val="16"/>
      <w:szCs w:val="16"/>
    </w:rPr>
  </w:style>
  <w:style w:type="table" w:styleId="TableGrid">
    <w:name w:val="Table Grid"/>
    <w:basedOn w:val="TableNormal"/>
    <w:uiPriority w:val="59"/>
    <w:rsid w:val="00536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772A1"/>
    <w:pPr>
      <w:ind w:left="720"/>
      <w:contextualSpacing/>
    </w:pPr>
  </w:style>
  <w:style w:type="character" w:customStyle="1" w:styleId="Heading1Char">
    <w:name w:val="Heading 1 Char"/>
    <w:aliases w:val="Section Char,HEADING 1 Char,Section Heading Char,MainHeader Char,1 ghost Char,g Char,Main heading Char,App1 Char,1 Char,h1 Char,L1 Char,Outline1 Char,Chapter Heading Char,Text Heading 18pt Char,Full Page Heading 1 Char,toc1a Char"/>
    <w:basedOn w:val="DefaultParagraphFont"/>
    <w:link w:val="Heading1"/>
    <w:uiPriority w:val="9"/>
    <w:rsid w:val="009549DE"/>
    <w:rPr>
      <w:rFonts w:ascii="Book Antiqua" w:eastAsiaTheme="majorEastAsia" w:hAnsi="Book Antiqua" w:cstheme="majorBidi"/>
      <w:b/>
      <w:bCs/>
      <w:color w:val="4F81BD" w:themeColor="accent1"/>
      <w:sz w:val="32"/>
      <w:szCs w:val="28"/>
    </w:rPr>
  </w:style>
  <w:style w:type="paragraph" w:customStyle="1" w:styleId="MYTHeading1">
    <w:name w:val="MYT Heading 1"/>
    <w:basedOn w:val="Heading1"/>
    <w:link w:val="MYTHeading1Char"/>
    <w:rsid w:val="007D22FE"/>
    <w:pPr>
      <w:shd w:val="clear" w:color="auto" w:fill="CCC0D9" w:themeFill="accent4" w:themeFillTint="66"/>
      <w:jc w:val="center"/>
    </w:pPr>
    <w:rPr>
      <w:rFonts w:ascii="Times New Roman" w:hAnsi="Times New Roman" w:cs="Times New Roman"/>
      <w:u w:val="single"/>
    </w:rPr>
  </w:style>
  <w:style w:type="character" w:customStyle="1" w:styleId="Heading2Char">
    <w:name w:val="Heading 2 Char"/>
    <w:basedOn w:val="DefaultParagraphFont"/>
    <w:link w:val="Heading2"/>
    <w:uiPriority w:val="9"/>
    <w:rsid w:val="000B4251"/>
    <w:rPr>
      <w:rFonts w:ascii="Book Antiqua" w:eastAsiaTheme="majorEastAsia" w:hAnsi="Book Antiqua" w:cstheme="majorBidi"/>
      <w:b/>
      <w:bCs/>
      <w:sz w:val="26"/>
      <w:szCs w:val="26"/>
    </w:rPr>
  </w:style>
  <w:style w:type="character" w:customStyle="1" w:styleId="MYTHeading1Char">
    <w:name w:val="MYT Heading 1 Char"/>
    <w:basedOn w:val="Heading1Char"/>
    <w:link w:val="MYTHeading1"/>
    <w:rsid w:val="007D22FE"/>
    <w:rPr>
      <w:rFonts w:ascii="Times New Roman" w:eastAsiaTheme="majorEastAsia" w:hAnsi="Times New Roman" w:cs="Times New Roman"/>
      <w:b/>
      <w:bCs/>
      <w:color w:val="4F81BD" w:themeColor="accent1"/>
      <w:sz w:val="32"/>
      <w:szCs w:val="28"/>
      <w:u w:val="single"/>
      <w:shd w:val="clear" w:color="auto" w:fill="CCC0D9" w:themeFill="accent4" w:themeFillTint="66"/>
    </w:rPr>
  </w:style>
  <w:style w:type="paragraph" w:customStyle="1" w:styleId="MYTHeading2">
    <w:name w:val="MYT Heading 2"/>
    <w:basedOn w:val="Heading2"/>
    <w:link w:val="MYTHeading2Char"/>
    <w:qFormat/>
    <w:rsid w:val="00393619"/>
    <w:pPr>
      <w:numPr>
        <w:ilvl w:val="0"/>
        <w:numId w:val="0"/>
      </w:numPr>
    </w:pPr>
    <w:rPr>
      <w:rFonts w:cs="Times New Roman"/>
      <w:sz w:val="24"/>
    </w:rPr>
  </w:style>
  <w:style w:type="paragraph" w:customStyle="1" w:styleId="1MYTHeading">
    <w:name w:val="1 MYT Heading"/>
    <w:basedOn w:val="Heading1"/>
    <w:link w:val="1MYTHeadingChar"/>
    <w:rsid w:val="008E63D7"/>
    <w:pPr>
      <w:numPr>
        <w:numId w:val="1"/>
      </w:numPr>
      <w:shd w:val="clear" w:color="auto" w:fill="CCC0D9" w:themeFill="accent4" w:themeFillTint="66"/>
      <w:ind w:left="360"/>
      <w:jc w:val="center"/>
    </w:pPr>
    <w:rPr>
      <w:rFonts w:eastAsia="Times New Roman" w:cs="Times New Roman"/>
      <w:lang w:val="en-US"/>
    </w:rPr>
  </w:style>
  <w:style w:type="character" w:customStyle="1" w:styleId="MYTHeading2Char">
    <w:name w:val="MYT Heading 2 Char"/>
    <w:basedOn w:val="Heading2Char"/>
    <w:link w:val="MYTHeading2"/>
    <w:rsid w:val="00393619"/>
    <w:rPr>
      <w:rFonts w:ascii="Book Antiqua" w:eastAsiaTheme="majorEastAsia" w:hAnsi="Book Antiqua" w:cs="Times New Roman"/>
      <w:b/>
      <w:bCs/>
      <w:sz w:val="24"/>
      <w:szCs w:val="26"/>
    </w:rPr>
  </w:style>
  <w:style w:type="paragraph" w:styleId="TOCHeading">
    <w:name w:val="TOC Heading"/>
    <w:basedOn w:val="Heading1"/>
    <w:next w:val="Normal"/>
    <w:uiPriority w:val="39"/>
    <w:unhideWhenUsed/>
    <w:qFormat/>
    <w:rsid w:val="006B3B50"/>
    <w:pPr>
      <w:outlineLvl w:val="9"/>
    </w:pPr>
    <w:rPr>
      <w:lang w:val="en-US" w:eastAsia="ja-JP"/>
    </w:rPr>
  </w:style>
  <w:style w:type="character" w:customStyle="1" w:styleId="1MYTHeadingChar">
    <w:name w:val="1 MYT Heading Char"/>
    <w:basedOn w:val="Heading1Char"/>
    <w:link w:val="1MYTHeading"/>
    <w:rsid w:val="008E63D7"/>
    <w:rPr>
      <w:rFonts w:ascii="Book Antiqua" w:eastAsia="Times New Roman" w:hAnsi="Book Antiqua" w:cs="Times New Roman"/>
      <w:b/>
      <w:bCs/>
      <w:color w:val="4F81BD" w:themeColor="accent1"/>
      <w:sz w:val="32"/>
      <w:szCs w:val="28"/>
      <w:shd w:val="clear" w:color="auto" w:fill="CCC0D9" w:themeFill="accent4" w:themeFillTint="66"/>
      <w:lang w:val="en-US"/>
    </w:rPr>
  </w:style>
  <w:style w:type="paragraph" w:styleId="TOC1">
    <w:name w:val="toc 1"/>
    <w:basedOn w:val="Normal"/>
    <w:next w:val="Normal"/>
    <w:autoRedefine/>
    <w:uiPriority w:val="39"/>
    <w:unhideWhenUsed/>
    <w:rsid w:val="006B3B50"/>
    <w:pPr>
      <w:spacing w:after="100"/>
    </w:pPr>
  </w:style>
  <w:style w:type="paragraph" w:styleId="TOC2">
    <w:name w:val="toc 2"/>
    <w:basedOn w:val="Normal"/>
    <w:next w:val="Normal"/>
    <w:autoRedefine/>
    <w:uiPriority w:val="39"/>
    <w:unhideWhenUsed/>
    <w:rsid w:val="006B3B50"/>
    <w:pPr>
      <w:spacing w:after="100"/>
      <w:ind w:left="220"/>
    </w:pPr>
  </w:style>
  <w:style w:type="character" w:styleId="Hyperlink">
    <w:name w:val="Hyperlink"/>
    <w:basedOn w:val="DefaultParagraphFont"/>
    <w:uiPriority w:val="99"/>
    <w:unhideWhenUsed/>
    <w:rsid w:val="006B3B50"/>
    <w:rPr>
      <w:color w:val="0000FF" w:themeColor="hyperlink"/>
      <w:u w:val="single"/>
    </w:rPr>
  </w:style>
  <w:style w:type="paragraph" w:styleId="IntenseQuote">
    <w:name w:val="Intense Quote"/>
    <w:basedOn w:val="Heading1"/>
    <w:next w:val="Heading1"/>
    <w:link w:val="IntenseQuoteChar"/>
    <w:uiPriority w:val="30"/>
    <w:rsid w:val="000B4251"/>
    <w:pPr>
      <w:pBdr>
        <w:bottom w:val="single" w:sz="4" w:space="4" w:color="4F81BD" w:themeColor="accent1"/>
      </w:pBdr>
      <w:spacing w:before="200" w:after="280"/>
    </w:pPr>
    <w:rPr>
      <w:bCs w:val="0"/>
      <w:iCs/>
      <w:color w:val="244061" w:themeColor="accent1" w:themeShade="80"/>
    </w:rPr>
  </w:style>
  <w:style w:type="character" w:customStyle="1" w:styleId="IntenseQuoteChar">
    <w:name w:val="Intense Quote Char"/>
    <w:basedOn w:val="DefaultParagraphFont"/>
    <w:link w:val="IntenseQuote"/>
    <w:uiPriority w:val="30"/>
    <w:rsid w:val="000B4251"/>
    <w:rPr>
      <w:rFonts w:ascii="Book Antiqua" w:eastAsiaTheme="majorEastAsia" w:hAnsi="Book Antiqua" w:cstheme="majorBidi"/>
      <w:b/>
      <w:iCs/>
      <w:color w:val="244061" w:themeColor="accent1" w:themeShade="80"/>
      <w:sz w:val="32"/>
      <w:szCs w:val="28"/>
    </w:rPr>
  </w:style>
  <w:style w:type="character" w:customStyle="1" w:styleId="Heading3Char">
    <w:name w:val="Heading 3 Char"/>
    <w:aliases w:val="Minor Char,Client Char,C Heading Char,b Char,Level 1 - 1 Char,(Appendix Nbr) Char,Sub Sub Heading Char"/>
    <w:basedOn w:val="DefaultParagraphFont"/>
    <w:link w:val="Heading3"/>
    <w:uiPriority w:val="9"/>
    <w:rsid w:val="005F6D80"/>
    <w:rPr>
      <w:rFonts w:ascii="Book Antiqua" w:eastAsiaTheme="majorEastAsia" w:hAnsi="Book Antiqua" w:cstheme="majorBidi"/>
      <w:b/>
      <w:bCs/>
      <w:sz w:val="24"/>
    </w:rPr>
  </w:style>
  <w:style w:type="character" w:customStyle="1" w:styleId="Heading4Char">
    <w:name w:val="Heading 4 Char"/>
    <w:basedOn w:val="DefaultParagraphFont"/>
    <w:link w:val="Heading4"/>
    <w:rsid w:val="0039361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39361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9361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9361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936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361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66B01"/>
    <w:pPr>
      <w:spacing w:line="240" w:lineRule="auto"/>
      <w:jc w:val="center"/>
    </w:pPr>
    <w:rPr>
      <w:b/>
      <w:bCs/>
      <w:sz w:val="22"/>
      <w:szCs w:val="18"/>
    </w:rPr>
  </w:style>
  <w:style w:type="table" w:customStyle="1" w:styleId="LightShading-Accent11">
    <w:name w:val="Light Shading - Accent 11"/>
    <w:basedOn w:val="TableNormal"/>
    <w:uiPriority w:val="60"/>
    <w:rsid w:val="00F72D5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F72D5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F72D5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1">
    <w:name w:val="Light Shading1"/>
    <w:basedOn w:val="TableNormal"/>
    <w:uiPriority w:val="60"/>
    <w:rsid w:val="00F72D5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073487"/>
    <w:pPr>
      <w:spacing w:after="0" w:line="240" w:lineRule="auto"/>
    </w:pPr>
    <w:rPr>
      <w:lang w:val="en-US"/>
    </w:rPr>
  </w:style>
  <w:style w:type="paragraph" w:styleId="TableofFigures">
    <w:name w:val="table of figures"/>
    <w:basedOn w:val="Normal"/>
    <w:next w:val="Normal"/>
    <w:uiPriority w:val="99"/>
    <w:unhideWhenUsed/>
    <w:rsid w:val="00230B82"/>
  </w:style>
  <w:style w:type="paragraph" w:customStyle="1" w:styleId="Verbatium">
    <w:name w:val="Verbatium"/>
    <w:basedOn w:val="Normal"/>
    <w:link w:val="VerbatiumChar"/>
    <w:qFormat/>
    <w:rsid w:val="00007902"/>
    <w:pPr>
      <w:spacing w:line="360" w:lineRule="auto"/>
      <w:ind w:left="993"/>
    </w:pPr>
    <w:rPr>
      <w:rFonts w:eastAsia="Times New Roman" w:cs="Times New Roman"/>
      <w:i/>
      <w:szCs w:val="24"/>
      <w:lang w:val="en-GB" w:eastAsia="ar-SA"/>
    </w:rPr>
  </w:style>
  <w:style w:type="paragraph" w:customStyle="1" w:styleId="Default">
    <w:name w:val="Default"/>
    <w:rsid w:val="000512A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VerbatiumChar">
    <w:name w:val="Verbatium Char"/>
    <w:basedOn w:val="DefaultParagraphFont"/>
    <w:link w:val="Verbatium"/>
    <w:rsid w:val="00007902"/>
    <w:rPr>
      <w:rFonts w:ascii="Book Antiqua" w:eastAsia="Times New Roman" w:hAnsi="Book Antiqua" w:cs="Times New Roman"/>
      <w:i/>
      <w:sz w:val="24"/>
      <w:szCs w:val="24"/>
      <w:lang w:val="en-GB" w:eastAsia="ar-SA"/>
    </w:rPr>
  </w:style>
  <w:style w:type="paragraph" w:customStyle="1" w:styleId="Table">
    <w:name w:val="Table"/>
    <w:basedOn w:val="Normal"/>
    <w:link w:val="TableChar"/>
    <w:qFormat/>
    <w:rsid w:val="007B36F4"/>
    <w:pPr>
      <w:jc w:val="left"/>
    </w:pPr>
  </w:style>
  <w:style w:type="paragraph" w:styleId="Revision">
    <w:name w:val="Revision"/>
    <w:hidden/>
    <w:uiPriority w:val="99"/>
    <w:semiHidden/>
    <w:rsid w:val="00C66B01"/>
    <w:pPr>
      <w:spacing w:after="0" w:line="240" w:lineRule="auto"/>
    </w:pPr>
    <w:rPr>
      <w:rFonts w:ascii="Book Antiqua" w:hAnsi="Book Antiqua"/>
      <w:sz w:val="24"/>
    </w:rPr>
  </w:style>
  <w:style w:type="character" w:customStyle="1" w:styleId="TableChar">
    <w:name w:val="Table Char"/>
    <w:basedOn w:val="DefaultParagraphFont"/>
    <w:link w:val="Table"/>
    <w:rsid w:val="007B36F4"/>
    <w:rPr>
      <w:rFonts w:ascii="Book Antiqua" w:hAnsi="Book Antiqua"/>
      <w:sz w:val="24"/>
    </w:rPr>
  </w:style>
  <w:style w:type="character" w:styleId="FollowedHyperlink">
    <w:name w:val="FollowedHyperlink"/>
    <w:basedOn w:val="DefaultParagraphFont"/>
    <w:uiPriority w:val="99"/>
    <w:semiHidden/>
    <w:unhideWhenUsed/>
    <w:rsid w:val="00C66B01"/>
    <w:rPr>
      <w:color w:val="800080" w:themeColor="followedHyperlink"/>
      <w:u w:val="single"/>
    </w:rPr>
  </w:style>
  <w:style w:type="character" w:styleId="CommentReference">
    <w:name w:val="annotation reference"/>
    <w:basedOn w:val="DefaultParagraphFont"/>
    <w:uiPriority w:val="99"/>
    <w:semiHidden/>
    <w:unhideWhenUsed/>
    <w:rsid w:val="00455EC1"/>
    <w:rPr>
      <w:sz w:val="16"/>
      <w:szCs w:val="16"/>
    </w:rPr>
  </w:style>
  <w:style w:type="paragraph" w:styleId="CommentText">
    <w:name w:val="annotation text"/>
    <w:basedOn w:val="Normal"/>
    <w:link w:val="CommentTextChar"/>
    <w:uiPriority w:val="99"/>
    <w:semiHidden/>
    <w:unhideWhenUsed/>
    <w:rsid w:val="00455EC1"/>
    <w:pPr>
      <w:spacing w:line="240" w:lineRule="auto"/>
    </w:pPr>
    <w:rPr>
      <w:sz w:val="20"/>
      <w:szCs w:val="20"/>
    </w:rPr>
  </w:style>
  <w:style w:type="character" w:customStyle="1" w:styleId="CommentTextChar">
    <w:name w:val="Comment Text Char"/>
    <w:basedOn w:val="DefaultParagraphFont"/>
    <w:link w:val="CommentText"/>
    <w:uiPriority w:val="99"/>
    <w:semiHidden/>
    <w:rsid w:val="00455EC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55EC1"/>
    <w:rPr>
      <w:b/>
      <w:bCs/>
    </w:rPr>
  </w:style>
  <w:style w:type="character" w:customStyle="1" w:styleId="CommentSubjectChar">
    <w:name w:val="Comment Subject Char"/>
    <w:basedOn w:val="CommentTextChar"/>
    <w:link w:val="CommentSubject"/>
    <w:uiPriority w:val="99"/>
    <w:semiHidden/>
    <w:rsid w:val="00455EC1"/>
    <w:rPr>
      <w:rFonts w:ascii="Book Antiqua" w:hAnsi="Book Antiqua"/>
      <w:b/>
      <w:bCs/>
      <w:sz w:val="20"/>
      <w:szCs w:val="20"/>
    </w:rPr>
  </w:style>
  <w:style w:type="paragraph" w:styleId="PlainText">
    <w:name w:val="Plain Text"/>
    <w:basedOn w:val="Normal"/>
    <w:link w:val="PlainTextChar"/>
    <w:rsid w:val="005666B8"/>
    <w:pPr>
      <w:spacing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666B8"/>
    <w:rPr>
      <w:rFonts w:ascii="Courier New" w:eastAsia="Times New Roman" w:hAnsi="Courier New" w:cs="Courier New"/>
      <w:sz w:val="20"/>
      <w:szCs w:val="20"/>
      <w:lang w:val="en-US"/>
    </w:rPr>
  </w:style>
  <w:style w:type="paragraph" w:customStyle="1" w:styleId="StyleJustifiedLinespacingMultiple13li">
    <w:name w:val="Style Justified Line spacing:  Multiple 1.3 li"/>
    <w:basedOn w:val="Normal"/>
    <w:rsid w:val="005666B8"/>
    <w:rPr>
      <w:rFonts w:ascii="Times New Roman" w:eastAsia="Times New Roman" w:hAnsi="Times New Roman" w:cs="Times New Roman"/>
      <w:szCs w:val="20"/>
      <w:lang w:val="en-GB"/>
    </w:rPr>
  </w:style>
  <w:style w:type="paragraph" w:styleId="Title">
    <w:name w:val="Title"/>
    <w:basedOn w:val="Normal"/>
    <w:next w:val="Normal"/>
    <w:link w:val="TitleChar"/>
    <w:uiPriority w:val="10"/>
    <w:qFormat/>
    <w:rsid w:val="00D73E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3E91"/>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6743B6"/>
    <w:rPr>
      <w:rFonts w:ascii="Book Antiqua" w:hAnsi="Book Antiqua"/>
      <w:sz w:val="24"/>
    </w:rPr>
  </w:style>
  <w:style w:type="paragraph" w:styleId="BodyText">
    <w:name w:val="Body Text"/>
    <w:basedOn w:val="Normal"/>
    <w:link w:val="BodyTextChar"/>
    <w:uiPriority w:val="99"/>
    <w:unhideWhenUsed/>
    <w:rsid w:val="00F9450F"/>
    <w:pPr>
      <w:spacing w:line="240" w:lineRule="auto"/>
      <w:jc w:val="left"/>
    </w:pPr>
    <w:rPr>
      <w:rFonts w:asciiTheme="minorHAnsi" w:eastAsiaTheme="minorEastAsia" w:hAnsiTheme="minorHAnsi" w:cs="Times New Roman"/>
      <w:szCs w:val="24"/>
      <w:lang w:val="en-US"/>
    </w:rPr>
  </w:style>
  <w:style w:type="character" w:customStyle="1" w:styleId="BodyTextChar">
    <w:name w:val="Body Text Char"/>
    <w:basedOn w:val="DefaultParagraphFont"/>
    <w:link w:val="BodyText"/>
    <w:uiPriority w:val="99"/>
    <w:rsid w:val="00F9450F"/>
    <w:rPr>
      <w:rFonts w:eastAsiaTheme="minorEastAsia" w:cs="Times New Roman"/>
      <w:sz w:val="24"/>
      <w:szCs w:val="24"/>
      <w:lang w:val="en-US"/>
    </w:rPr>
  </w:style>
  <w:style w:type="paragraph" w:styleId="TOC3">
    <w:name w:val="toc 3"/>
    <w:basedOn w:val="Normal"/>
    <w:next w:val="Normal"/>
    <w:autoRedefine/>
    <w:uiPriority w:val="39"/>
    <w:unhideWhenUsed/>
    <w:rsid w:val="00EF05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24181">
      <w:bodyDiv w:val="1"/>
      <w:marLeft w:val="0"/>
      <w:marRight w:val="0"/>
      <w:marTop w:val="0"/>
      <w:marBottom w:val="0"/>
      <w:divBdr>
        <w:top w:val="none" w:sz="0" w:space="0" w:color="auto"/>
        <w:left w:val="none" w:sz="0" w:space="0" w:color="auto"/>
        <w:bottom w:val="none" w:sz="0" w:space="0" w:color="auto"/>
        <w:right w:val="none" w:sz="0" w:space="0" w:color="auto"/>
      </w:divBdr>
    </w:div>
    <w:div w:id="617377014">
      <w:bodyDiv w:val="1"/>
      <w:marLeft w:val="0"/>
      <w:marRight w:val="0"/>
      <w:marTop w:val="0"/>
      <w:marBottom w:val="0"/>
      <w:divBdr>
        <w:top w:val="none" w:sz="0" w:space="0" w:color="auto"/>
        <w:left w:val="none" w:sz="0" w:space="0" w:color="auto"/>
        <w:bottom w:val="none" w:sz="0" w:space="0" w:color="auto"/>
        <w:right w:val="none" w:sz="0" w:space="0" w:color="auto"/>
      </w:divBdr>
    </w:div>
    <w:div w:id="660888280">
      <w:bodyDiv w:val="1"/>
      <w:marLeft w:val="0"/>
      <w:marRight w:val="0"/>
      <w:marTop w:val="0"/>
      <w:marBottom w:val="0"/>
      <w:divBdr>
        <w:top w:val="none" w:sz="0" w:space="0" w:color="auto"/>
        <w:left w:val="none" w:sz="0" w:space="0" w:color="auto"/>
        <w:bottom w:val="none" w:sz="0" w:space="0" w:color="auto"/>
        <w:right w:val="none" w:sz="0" w:space="0" w:color="auto"/>
      </w:divBdr>
    </w:div>
    <w:div w:id="693387905">
      <w:bodyDiv w:val="1"/>
      <w:marLeft w:val="0"/>
      <w:marRight w:val="0"/>
      <w:marTop w:val="0"/>
      <w:marBottom w:val="0"/>
      <w:divBdr>
        <w:top w:val="none" w:sz="0" w:space="0" w:color="auto"/>
        <w:left w:val="none" w:sz="0" w:space="0" w:color="auto"/>
        <w:bottom w:val="none" w:sz="0" w:space="0" w:color="auto"/>
        <w:right w:val="none" w:sz="0" w:space="0" w:color="auto"/>
      </w:divBdr>
    </w:div>
    <w:div w:id="737047982">
      <w:bodyDiv w:val="1"/>
      <w:marLeft w:val="0"/>
      <w:marRight w:val="0"/>
      <w:marTop w:val="0"/>
      <w:marBottom w:val="0"/>
      <w:divBdr>
        <w:top w:val="none" w:sz="0" w:space="0" w:color="auto"/>
        <w:left w:val="none" w:sz="0" w:space="0" w:color="auto"/>
        <w:bottom w:val="none" w:sz="0" w:space="0" w:color="auto"/>
        <w:right w:val="none" w:sz="0" w:space="0" w:color="auto"/>
      </w:divBdr>
    </w:div>
    <w:div w:id="811748512">
      <w:bodyDiv w:val="1"/>
      <w:marLeft w:val="0"/>
      <w:marRight w:val="0"/>
      <w:marTop w:val="0"/>
      <w:marBottom w:val="0"/>
      <w:divBdr>
        <w:top w:val="none" w:sz="0" w:space="0" w:color="auto"/>
        <w:left w:val="none" w:sz="0" w:space="0" w:color="auto"/>
        <w:bottom w:val="none" w:sz="0" w:space="0" w:color="auto"/>
        <w:right w:val="none" w:sz="0" w:space="0" w:color="auto"/>
      </w:divBdr>
    </w:div>
    <w:div w:id="945622937">
      <w:bodyDiv w:val="1"/>
      <w:marLeft w:val="0"/>
      <w:marRight w:val="0"/>
      <w:marTop w:val="0"/>
      <w:marBottom w:val="0"/>
      <w:divBdr>
        <w:top w:val="none" w:sz="0" w:space="0" w:color="auto"/>
        <w:left w:val="none" w:sz="0" w:space="0" w:color="auto"/>
        <w:bottom w:val="none" w:sz="0" w:space="0" w:color="auto"/>
        <w:right w:val="none" w:sz="0" w:space="0" w:color="auto"/>
      </w:divBdr>
    </w:div>
    <w:div w:id="1309549163">
      <w:bodyDiv w:val="1"/>
      <w:marLeft w:val="0"/>
      <w:marRight w:val="0"/>
      <w:marTop w:val="0"/>
      <w:marBottom w:val="0"/>
      <w:divBdr>
        <w:top w:val="none" w:sz="0" w:space="0" w:color="auto"/>
        <w:left w:val="none" w:sz="0" w:space="0" w:color="auto"/>
        <w:bottom w:val="none" w:sz="0" w:space="0" w:color="auto"/>
        <w:right w:val="none" w:sz="0" w:space="0" w:color="auto"/>
      </w:divBdr>
    </w:div>
    <w:div w:id="1613199778">
      <w:bodyDiv w:val="1"/>
      <w:marLeft w:val="0"/>
      <w:marRight w:val="0"/>
      <w:marTop w:val="0"/>
      <w:marBottom w:val="0"/>
      <w:divBdr>
        <w:top w:val="none" w:sz="0" w:space="0" w:color="auto"/>
        <w:left w:val="none" w:sz="0" w:space="0" w:color="auto"/>
        <w:bottom w:val="none" w:sz="0" w:space="0" w:color="auto"/>
        <w:right w:val="none" w:sz="0" w:space="0" w:color="auto"/>
      </w:divBdr>
    </w:div>
    <w:div w:id="1629318630">
      <w:bodyDiv w:val="1"/>
      <w:marLeft w:val="0"/>
      <w:marRight w:val="0"/>
      <w:marTop w:val="0"/>
      <w:marBottom w:val="0"/>
      <w:divBdr>
        <w:top w:val="none" w:sz="0" w:space="0" w:color="auto"/>
        <w:left w:val="none" w:sz="0" w:space="0" w:color="auto"/>
        <w:bottom w:val="none" w:sz="0" w:space="0" w:color="auto"/>
        <w:right w:val="none" w:sz="0" w:space="0" w:color="auto"/>
      </w:divBdr>
    </w:div>
    <w:div w:id="1646619087">
      <w:bodyDiv w:val="1"/>
      <w:marLeft w:val="0"/>
      <w:marRight w:val="0"/>
      <w:marTop w:val="0"/>
      <w:marBottom w:val="0"/>
      <w:divBdr>
        <w:top w:val="none" w:sz="0" w:space="0" w:color="auto"/>
        <w:left w:val="none" w:sz="0" w:space="0" w:color="auto"/>
        <w:bottom w:val="none" w:sz="0" w:space="0" w:color="auto"/>
        <w:right w:val="none" w:sz="0" w:space="0" w:color="auto"/>
      </w:divBdr>
    </w:div>
    <w:div w:id="1983465412">
      <w:bodyDiv w:val="1"/>
      <w:marLeft w:val="0"/>
      <w:marRight w:val="0"/>
      <w:marTop w:val="0"/>
      <w:marBottom w:val="0"/>
      <w:divBdr>
        <w:top w:val="none" w:sz="0" w:space="0" w:color="auto"/>
        <w:left w:val="none" w:sz="0" w:space="0" w:color="auto"/>
        <w:bottom w:val="none" w:sz="0" w:space="0" w:color="auto"/>
        <w:right w:val="none" w:sz="0" w:space="0" w:color="auto"/>
      </w:divBdr>
    </w:div>
    <w:div w:id="2027169548">
      <w:bodyDiv w:val="1"/>
      <w:marLeft w:val="0"/>
      <w:marRight w:val="0"/>
      <w:marTop w:val="0"/>
      <w:marBottom w:val="0"/>
      <w:divBdr>
        <w:top w:val="none" w:sz="0" w:space="0" w:color="auto"/>
        <w:left w:val="none" w:sz="0" w:space="0" w:color="auto"/>
        <w:bottom w:val="none" w:sz="0" w:space="0" w:color="auto"/>
        <w:right w:val="none" w:sz="0" w:space="0" w:color="auto"/>
      </w:divBdr>
    </w:div>
    <w:div w:id="2044866131">
      <w:bodyDiv w:val="1"/>
      <w:marLeft w:val="0"/>
      <w:marRight w:val="0"/>
      <w:marTop w:val="0"/>
      <w:marBottom w:val="0"/>
      <w:divBdr>
        <w:top w:val="none" w:sz="0" w:space="0" w:color="auto"/>
        <w:left w:val="none" w:sz="0" w:space="0" w:color="auto"/>
        <w:bottom w:val="none" w:sz="0" w:space="0" w:color="auto"/>
        <w:right w:val="none" w:sz="0" w:space="0" w:color="auto"/>
      </w:divBdr>
    </w:div>
    <w:div w:id="2045709247">
      <w:bodyDiv w:val="1"/>
      <w:marLeft w:val="0"/>
      <w:marRight w:val="0"/>
      <w:marTop w:val="0"/>
      <w:marBottom w:val="0"/>
      <w:divBdr>
        <w:top w:val="none" w:sz="0" w:space="0" w:color="auto"/>
        <w:left w:val="none" w:sz="0" w:space="0" w:color="auto"/>
        <w:bottom w:val="none" w:sz="0" w:space="0" w:color="auto"/>
        <w:right w:val="none" w:sz="0" w:space="0" w:color="auto"/>
      </w:divBdr>
    </w:div>
    <w:div w:id="20560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B40F-0EA1-46BA-BDEC-DE45E296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ABPS</dc:creator>
  <cp:lastModifiedBy>Manish Shakya</cp:lastModifiedBy>
  <cp:revision>6</cp:revision>
  <cp:lastPrinted>2017-11-14T11:27:00Z</cp:lastPrinted>
  <dcterms:created xsi:type="dcterms:W3CDTF">2017-11-14T06:24:00Z</dcterms:created>
  <dcterms:modified xsi:type="dcterms:W3CDTF">2017-11-14T11:27:00Z</dcterms:modified>
</cp:coreProperties>
</file>